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6A193" w14:textId="6EA1F5BF" w:rsidR="00E90E49" w:rsidRPr="00CE0424" w:rsidRDefault="00E90E49" w:rsidP="00E35559">
      <w:pPr>
        <w:pStyle w:val="3GPPHeader"/>
        <w:spacing w:after="60"/>
        <w:rPr>
          <w:sz w:val="32"/>
          <w:szCs w:val="32"/>
          <w:highlight w:val="yellow"/>
        </w:rPr>
      </w:pPr>
      <w:r w:rsidRPr="00CE0424">
        <w:t>3GPP TSG-RAN WG</w:t>
      </w:r>
      <w:r w:rsidR="00C64201">
        <w:t>2#10</w:t>
      </w:r>
      <w:r w:rsidR="00C91C31">
        <w:t>4</w:t>
      </w:r>
      <w:r w:rsidRPr="00CE0424">
        <w:tab/>
      </w:r>
      <w:r w:rsidR="00091557" w:rsidRPr="00AA5D17">
        <w:rPr>
          <w:sz w:val="28"/>
          <w:szCs w:val="32"/>
        </w:rPr>
        <w:t>R2-</w:t>
      </w:r>
      <w:r w:rsidR="00AA5D17" w:rsidRPr="00AA5D17">
        <w:rPr>
          <w:sz w:val="28"/>
          <w:szCs w:val="32"/>
        </w:rPr>
        <w:t>18</w:t>
      </w:r>
      <w:r w:rsidR="002A0647">
        <w:rPr>
          <w:sz w:val="28"/>
          <w:szCs w:val="32"/>
        </w:rPr>
        <w:t>16640</w:t>
      </w:r>
    </w:p>
    <w:p w14:paraId="1BD14AD6" w14:textId="12F9CEF2" w:rsidR="00E90E49" w:rsidRPr="00CE0424" w:rsidRDefault="00C85F89" w:rsidP="00311702">
      <w:pPr>
        <w:pStyle w:val="3GPPHeader"/>
      </w:pPr>
      <w:r w:rsidRPr="00C85F89">
        <w:t>Spokane, USA</w:t>
      </w:r>
      <w:r w:rsidR="0027144F" w:rsidRPr="00C85F89">
        <w:t xml:space="preserve">, </w:t>
      </w:r>
      <w:r w:rsidRPr="00C85F89">
        <w:t>November</w:t>
      </w:r>
      <w:r w:rsidR="0027144F" w:rsidRPr="00C85F89">
        <w:t xml:space="preserve"> </w:t>
      </w:r>
      <w:r w:rsidRPr="00C85F89">
        <w:t>12</w:t>
      </w:r>
      <w:r w:rsidR="001D53E7" w:rsidRPr="00C85F89">
        <w:rPr>
          <w:vertAlign w:val="superscript"/>
        </w:rPr>
        <w:t>th</w:t>
      </w:r>
      <w:r w:rsidRPr="00C85F89">
        <w:t xml:space="preserve"> </w:t>
      </w:r>
      <w:r w:rsidR="001D53E7" w:rsidRPr="00C85F89">
        <w:t xml:space="preserve">– </w:t>
      </w:r>
      <w:r w:rsidR="00C64201" w:rsidRPr="00C85F89">
        <w:t>1</w:t>
      </w:r>
      <w:r w:rsidRPr="00C85F89">
        <w:t>6</w:t>
      </w:r>
      <w:r w:rsidR="001D53E7" w:rsidRPr="00C85F89">
        <w:rPr>
          <w:vertAlign w:val="superscript"/>
        </w:rPr>
        <w:t>th</w:t>
      </w:r>
      <w:r w:rsidRPr="00C85F89">
        <w:t xml:space="preserve"> </w:t>
      </w:r>
      <w:r w:rsidR="0027144F" w:rsidRPr="00C85F89">
        <w:t>20</w:t>
      </w:r>
      <w:r w:rsidR="005F3025" w:rsidRPr="00C85F89">
        <w:t>1</w:t>
      </w:r>
      <w:r w:rsidR="001D53E7" w:rsidRPr="00C85F89">
        <w:t>8</w:t>
      </w:r>
    </w:p>
    <w:p w14:paraId="4730C3B1" w14:textId="77777777" w:rsidR="00E90E49" w:rsidRPr="00CE0424" w:rsidRDefault="00E90E49" w:rsidP="00357380">
      <w:pPr>
        <w:pStyle w:val="3GPPHeader"/>
      </w:pPr>
    </w:p>
    <w:p w14:paraId="34D02FDF" w14:textId="4C101C7C" w:rsidR="00E90E49" w:rsidRPr="00140362" w:rsidRDefault="00E90E49" w:rsidP="00311702">
      <w:pPr>
        <w:pStyle w:val="3GPPHeader"/>
        <w:rPr>
          <w:sz w:val="22"/>
          <w:szCs w:val="22"/>
          <w:lang w:val="en-US"/>
        </w:rPr>
      </w:pPr>
      <w:r w:rsidRPr="00140362">
        <w:rPr>
          <w:sz w:val="22"/>
          <w:szCs w:val="22"/>
          <w:lang w:val="en-US"/>
        </w:rPr>
        <w:t>Agenda Item:</w:t>
      </w:r>
      <w:r w:rsidRPr="00140362">
        <w:rPr>
          <w:sz w:val="22"/>
          <w:szCs w:val="22"/>
          <w:lang w:val="en-US"/>
        </w:rPr>
        <w:tab/>
      </w:r>
      <w:r w:rsidR="00D17F9A" w:rsidRPr="00140362">
        <w:rPr>
          <w:sz w:val="22"/>
          <w:szCs w:val="22"/>
          <w:lang w:val="en-US"/>
        </w:rPr>
        <w:t>12.1.9</w:t>
      </w:r>
    </w:p>
    <w:p w14:paraId="31C95E4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334CC0" w14:textId="1C7D3F15" w:rsidR="00E90E49" w:rsidRPr="00CE0424" w:rsidRDefault="003D3C45" w:rsidP="00311702">
      <w:pPr>
        <w:pStyle w:val="3GPPHeader"/>
        <w:rPr>
          <w:sz w:val="22"/>
          <w:szCs w:val="22"/>
        </w:rPr>
      </w:pPr>
      <w:r>
        <w:rPr>
          <w:sz w:val="22"/>
          <w:szCs w:val="22"/>
        </w:rPr>
        <w:t>Title:</w:t>
      </w:r>
      <w:r w:rsidR="00E90E49" w:rsidRPr="00CE0424">
        <w:rPr>
          <w:sz w:val="22"/>
          <w:szCs w:val="22"/>
        </w:rPr>
        <w:tab/>
      </w:r>
      <w:r w:rsidR="00FE4134">
        <w:rPr>
          <w:sz w:val="22"/>
          <w:szCs w:val="22"/>
        </w:rPr>
        <w:t>Stand</w:t>
      </w:r>
      <w:r w:rsidR="00A624B6">
        <w:rPr>
          <w:sz w:val="22"/>
          <w:szCs w:val="22"/>
        </w:rPr>
        <w:t>-</w:t>
      </w:r>
      <w:r w:rsidR="00FE4134">
        <w:rPr>
          <w:sz w:val="22"/>
          <w:szCs w:val="22"/>
        </w:rPr>
        <w:t>alone enhancements for LTE-MTC</w:t>
      </w:r>
    </w:p>
    <w:p w14:paraId="6C140BA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17F9A">
        <w:rPr>
          <w:sz w:val="22"/>
          <w:szCs w:val="22"/>
        </w:rPr>
        <w:t>Discussion, Decision</w:t>
      </w:r>
    </w:p>
    <w:p w14:paraId="580F344B" w14:textId="77777777" w:rsidR="00E90E49" w:rsidRPr="00CE0424" w:rsidRDefault="00E90E49" w:rsidP="00E90E49"/>
    <w:p w14:paraId="5A56178E" w14:textId="77777777" w:rsidR="00E90E49" w:rsidRPr="00CE0424" w:rsidRDefault="00230D18" w:rsidP="00CE0424">
      <w:pPr>
        <w:pStyle w:val="Heading1"/>
      </w:pPr>
      <w:r>
        <w:t>1</w:t>
      </w:r>
      <w:r>
        <w:tab/>
      </w:r>
      <w:r w:rsidR="00E90E49" w:rsidRPr="00CE0424">
        <w:t>Introduction</w:t>
      </w:r>
    </w:p>
    <w:p w14:paraId="2726DD99" w14:textId="0A30DCAD" w:rsidR="00FE4134" w:rsidRPr="0069263B" w:rsidRDefault="007A3CDF" w:rsidP="00FE4134">
      <w:pPr>
        <w:pStyle w:val="BodyText"/>
        <w:rPr>
          <w:lang w:val="en-US"/>
        </w:rPr>
      </w:pPr>
      <w:r>
        <w:t xml:space="preserve">The Rel-16 WI on “Additional MTC enhancements for LTE” </w:t>
      </w:r>
      <w:r w:rsidR="002A0647">
        <w:rPr>
          <w:b/>
          <w:bCs/>
        </w:rPr>
        <w:fldChar w:fldCharType="begin"/>
      </w:r>
      <w:r w:rsidR="002A0647">
        <w:instrText xml:space="preserve"> REF _Ref521234735 \n \h </w:instrText>
      </w:r>
      <w:r w:rsidR="002A0647">
        <w:rPr>
          <w:b/>
          <w:bCs/>
        </w:rPr>
      </w:r>
      <w:r w:rsidR="002A0647">
        <w:rPr>
          <w:b/>
          <w:bCs/>
        </w:rPr>
        <w:fldChar w:fldCharType="separate"/>
      </w:r>
      <w:r w:rsidR="002A0647">
        <w:t>[1]</w:t>
      </w:r>
      <w:r w:rsidR="002A0647">
        <w:rPr>
          <w:b/>
          <w:bCs/>
        </w:rPr>
        <w:fldChar w:fldCharType="end"/>
      </w:r>
      <w:r w:rsidR="002A0647">
        <w:rPr>
          <w:b/>
          <w:bCs/>
        </w:rPr>
        <w:t xml:space="preserve"> </w:t>
      </w:r>
      <w:r>
        <w:t xml:space="preserve">has the following objectives </w:t>
      </w:r>
      <w:r w:rsidR="00412066">
        <w:t>on stand-alone deployment for LTE-MTC:</w:t>
      </w:r>
    </w:p>
    <w:tbl>
      <w:tblPr>
        <w:tblStyle w:val="TableGrid"/>
        <w:tblW w:w="0" w:type="auto"/>
        <w:tblLook w:val="04A0" w:firstRow="1" w:lastRow="0" w:firstColumn="1" w:lastColumn="0" w:noHBand="0" w:noVBand="1"/>
      </w:tblPr>
      <w:tblGrid>
        <w:gridCol w:w="9629"/>
      </w:tblGrid>
      <w:tr w:rsidR="00FE4134" w:rsidRPr="0069263B" w14:paraId="5E25E854" w14:textId="77777777" w:rsidTr="000D7C65">
        <w:tc>
          <w:tcPr>
            <w:tcW w:w="9629" w:type="dxa"/>
          </w:tcPr>
          <w:p w14:paraId="190FF347" w14:textId="77777777" w:rsidR="00FE4134" w:rsidRDefault="00FE4134" w:rsidP="000D7C65">
            <w:pPr>
              <w:spacing w:after="0"/>
              <w:rPr>
                <w:b/>
                <w:bCs/>
              </w:rPr>
            </w:pPr>
            <w:r>
              <w:rPr>
                <w:b/>
                <w:bCs/>
              </w:rPr>
              <w:t>Stand-alone deployment:</w:t>
            </w:r>
          </w:p>
          <w:p w14:paraId="13F4A338" w14:textId="77777777" w:rsidR="00FE4134" w:rsidRPr="0069263B" w:rsidRDefault="00FE4134" w:rsidP="00FE4134">
            <w:pPr>
              <w:numPr>
                <w:ilvl w:val="0"/>
                <w:numId w:val="23"/>
              </w:numPr>
              <w:overflowPunct/>
              <w:autoSpaceDE/>
              <w:autoSpaceDN/>
              <w:adjustRightInd/>
              <w:spacing w:after="0" w:line="259" w:lineRule="auto"/>
              <w:textAlignment w:val="auto"/>
              <w:rPr>
                <w:bCs/>
                <w:lang w:val="en-US"/>
              </w:rPr>
            </w:pPr>
            <w:r w:rsidRPr="0069263B">
              <w:rPr>
                <w:bCs/>
                <w:lang w:val="en-US"/>
              </w:rPr>
              <w:t>Enable the use of LTE control channel region for DL transmission (MPDCCH/PDSCH) to BL/CE UEs [RAN1, RAN2, RAN4]</w:t>
            </w:r>
          </w:p>
          <w:p w14:paraId="2B264634" w14:textId="77777777" w:rsidR="00FE4134" w:rsidRPr="0069263B" w:rsidRDefault="00FE4134" w:rsidP="00FE4134">
            <w:pPr>
              <w:numPr>
                <w:ilvl w:val="1"/>
                <w:numId w:val="23"/>
              </w:numPr>
              <w:overflowPunct/>
              <w:autoSpaceDE/>
              <w:autoSpaceDN/>
              <w:adjustRightInd/>
              <w:spacing w:after="0" w:line="259" w:lineRule="auto"/>
              <w:textAlignment w:val="auto"/>
              <w:rPr>
                <w:bCs/>
                <w:lang w:val="en-US"/>
              </w:rPr>
            </w:pPr>
            <w:r w:rsidRPr="0069263B">
              <w:rPr>
                <w:bCs/>
                <w:lang w:val="en-US"/>
              </w:rPr>
              <w:t>This deployment mode should support legacy operation for legacy BL/CE UEs.</w:t>
            </w:r>
          </w:p>
          <w:p w14:paraId="76600ED5" w14:textId="77777777" w:rsidR="00FE4134" w:rsidRPr="0069263B" w:rsidRDefault="00FE4134" w:rsidP="000D7C65">
            <w:pPr>
              <w:pStyle w:val="BodyText"/>
              <w:rPr>
                <w:lang w:val="en-US"/>
              </w:rPr>
            </w:pPr>
            <w:r w:rsidRPr="0069263B">
              <w:rPr>
                <w:lang w:val="en-US"/>
              </w:rPr>
              <w:t xml:space="preserve"> </w:t>
            </w:r>
          </w:p>
        </w:tc>
      </w:tr>
    </w:tbl>
    <w:p w14:paraId="6F4ECE88" w14:textId="77B22F7F" w:rsidR="00FE4134" w:rsidRDefault="00FE4134" w:rsidP="00FE4134">
      <w:pPr>
        <w:pStyle w:val="BodyText"/>
        <w:rPr>
          <w:lang w:val="en-US"/>
        </w:rPr>
      </w:pPr>
    </w:p>
    <w:p w14:paraId="09D50756" w14:textId="1D7D8018" w:rsidR="00FE4134" w:rsidRDefault="00CF39EE" w:rsidP="00FE4134">
      <w:pPr>
        <w:pStyle w:val="BodyText"/>
        <w:rPr>
          <w:lang w:val="en-US"/>
        </w:rPr>
      </w:pPr>
      <w:r>
        <w:rPr>
          <w:lang w:val="en-US"/>
        </w:rPr>
        <w:t>RAN1 started the discussion on this objective in RAN1#94 and reached the following agreements:</w:t>
      </w:r>
    </w:p>
    <w:tbl>
      <w:tblPr>
        <w:tblStyle w:val="TableGrid"/>
        <w:tblW w:w="0" w:type="auto"/>
        <w:tblLook w:val="04A0" w:firstRow="1" w:lastRow="0" w:firstColumn="1" w:lastColumn="0" w:noHBand="0" w:noVBand="1"/>
      </w:tblPr>
      <w:tblGrid>
        <w:gridCol w:w="9629"/>
      </w:tblGrid>
      <w:tr w:rsidR="00CF39EE" w:rsidRPr="000B71D7" w14:paraId="362B9026" w14:textId="77777777" w:rsidTr="00CF39EE">
        <w:tc>
          <w:tcPr>
            <w:tcW w:w="9629" w:type="dxa"/>
          </w:tcPr>
          <w:p w14:paraId="4045C145" w14:textId="77777777" w:rsidR="00CF39EE" w:rsidRPr="002A74B0" w:rsidRDefault="00CF39EE" w:rsidP="00CF39EE">
            <w:pPr>
              <w:overflowPunct/>
              <w:autoSpaceDE/>
              <w:autoSpaceDN/>
              <w:adjustRightInd/>
              <w:spacing w:after="0"/>
              <w:textAlignment w:val="auto"/>
              <w:rPr>
                <w:rFonts w:ascii="Times" w:eastAsia="Batang" w:hAnsi="Times"/>
                <w:b/>
                <w:bCs/>
                <w:noProof/>
                <w:szCs w:val="24"/>
                <w:highlight w:val="green"/>
                <w:lang w:val="en-US" w:eastAsia="en-GB"/>
              </w:rPr>
            </w:pPr>
            <w:r w:rsidRPr="002A74B0">
              <w:rPr>
                <w:rFonts w:ascii="Times" w:eastAsia="Batang" w:hAnsi="Times"/>
                <w:b/>
                <w:bCs/>
                <w:noProof/>
                <w:szCs w:val="24"/>
                <w:highlight w:val="green"/>
                <w:lang w:val="en-US" w:eastAsia="en-GB"/>
              </w:rPr>
              <w:t>Agreement</w:t>
            </w:r>
          </w:p>
          <w:p w14:paraId="4F144823" w14:textId="77777777" w:rsidR="00CF39EE" w:rsidRPr="002A74B0" w:rsidRDefault="00CF39EE" w:rsidP="00CF39EE">
            <w:pPr>
              <w:overflowPunct/>
              <w:autoSpaceDE/>
              <w:autoSpaceDN/>
              <w:adjustRightInd/>
              <w:spacing w:after="0"/>
              <w:textAlignment w:val="auto"/>
              <w:rPr>
                <w:rFonts w:ascii="Times" w:eastAsia="Batang" w:hAnsi="Times"/>
                <w:bCs/>
                <w:noProof/>
                <w:szCs w:val="24"/>
                <w:lang w:val="en-US" w:eastAsia="en-GB"/>
              </w:rPr>
            </w:pPr>
            <w:r w:rsidRPr="002A74B0">
              <w:rPr>
                <w:rFonts w:ascii="Times" w:eastAsia="Batang" w:hAnsi="Times"/>
                <w:bCs/>
                <w:noProof/>
                <w:szCs w:val="24"/>
                <w:lang w:val="en-US" w:eastAsia="en-GB"/>
              </w:rPr>
              <w:t xml:space="preserve">FFS whether and for what broadcast transmission (e.g. SIBs, paging, SC-PTM, Msg2, etc) use of LTE control channel region for MPDCCH and PDSCH are applied </w:t>
            </w:r>
          </w:p>
          <w:p w14:paraId="582038E9" w14:textId="77777777" w:rsidR="00CF39EE" w:rsidRPr="002A74B0" w:rsidRDefault="00CF39EE" w:rsidP="00CF39EE">
            <w:pPr>
              <w:overflowPunct/>
              <w:autoSpaceDE/>
              <w:autoSpaceDN/>
              <w:adjustRightInd/>
              <w:spacing w:after="0"/>
              <w:textAlignment w:val="auto"/>
              <w:rPr>
                <w:rFonts w:ascii="Times" w:eastAsia="Batang" w:hAnsi="Times"/>
                <w:sz w:val="18"/>
                <w:szCs w:val="24"/>
                <w:lang w:eastAsia="x-none"/>
              </w:rPr>
            </w:pPr>
          </w:p>
          <w:p w14:paraId="67342672" w14:textId="77777777" w:rsidR="00CF39EE" w:rsidRPr="002A74B0" w:rsidRDefault="00CF39EE" w:rsidP="00CF39EE">
            <w:pPr>
              <w:overflowPunct/>
              <w:autoSpaceDE/>
              <w:autoSpaceDN/>
              <w:adjustRightInd/>
              <w:spacing w:after="0"/>
              <w:ind w:left="720" w:hanging="720"/>
              <w:jc w:val="both"/>
              <w:textAlignment w:val="auto"/>
              <w:rPr>
                <w:rFonts w:ascii="Times" w:eastAsia="Batang" w:hAnsi="Times"/>
                <w:b/>
                <w:bCs/>
                <w:noProof/>
                <w:szCs w:val="24"/>
                <w:highlight w:val="green"/>
                <w:lang w:val="en-US" w:eastAsia="en-GB"/>
              </w:rPr>
            </w:pPr>
            <w:r w:rsidRPr="002A74B0">
              <w:rPr>
                <w:rFonts w:ascii="Times" w:eastAsia="Batang" w:hAnsi="Times"/>
                <w:b/>
                <w:bCs/>
                <w:noProof/>
                <w:szCs w:val="24"/>
                <w:highlight w:val="green"/>
                <w:lang w:val="en-US" w:eastAsia="en-GB"/>
              </w:rPr>
              <w:t>Agreement</w:t>
            </w:r>
          </w:p>
          <w:p w14:paraId="56B3E184" w14:textId="77777777" w:rsidR="00CF39EE" w:rsidRPr="002A74B0" w:rsidRDefault="00CF39EE" w:rsidP="00CF39EE">
            <w:pPr>
              <w:overflowPunct/>
              <w:autoSpaceDE/>
              <w:autoSpaceDN/>
              <w:adjustRightInd/>
              <w:spacing w:after="0"/>
              <w:jc w:val="both"/>
              <w:textAlignment w:val="auto"/>
              <w:rPr>
                <w:rFonts w:ascii="Times" w:eastAsia="Batang" w:hAnsi="Times"/>
                <w:bCs/>
                <w:noProof/>
                <w:szCs w:val="24"/>
                <w:lang w:val="en-US" w:eastAsia="en-GB"/>
              </w:rPr>
            </w:pPr>
            <w:r w:rsidRPr="002A74B0">
              <w:rPr>
                <w:rFonts w:ascii="Times" w:eastAsia="Batang" w:hAnsi="Times"/>
                <w:bCs/>
                <w:noProof/>
                <w:szCs w:val="24"/>
                <w:lang w:val="en-US" w:eastAsia="en-GB"/>
              </w:rPr>
              <w:t>The following options can be considered for transmission of MPDCCH and PDSCH in LTE control channel region:</w:t>
            </w:r>
          </w:p>
          <w:p w14:paraId="4DDF79B1" w14:textId="77777777" w:rsidR="00CF39EE" w:rsidRPr="002A74B0" w:rsidRDefault="00CF39EE" w:rsidP="00CF39EE">
            <w:pPr>
              <w:overflowPunct/>
              <w:autoSpaceDE/>
              <w:autoSpaceDN/>
              <w:adjustRightInd/>
              <w:spacing w:after="0"/>
              <w:ind w:left="720" w:hanging="720"/>
              <w:jc w:val="both"/>
              <w:textAlignment w:val="auto"/>
              <w:rPr>
                <w:rFonts w:ascii="Times" w:hAnsi="Times"/>
                <w:szCs w:val="24"/>
                <w:lang w:val="en-US"/>
              </w:rPr>
            </w:pPr>
            <w:r w:rsidRPr="002A74B0">
              <w:rPr>
                <w:rFonts w:ascii="Times" w:hAnsi="Times"/>
                <w:szCs w:val="24"/>
                <w:lang w:val="en-US"/>
              </w:rPr>
              <w:t>For MPDCCH</w:t>
            </w:r>
          </w:p>
          <w:p w14:paraId="114C54FE" w14:textId="77777777" w:rsidR="00CF39EE" w:rsidRPr="002A74B0" w:rsidRDefault="00CF39EE" w:rsidP="00CF39EE">
            <w:pPr>
              <w:numPr>
                <w:ilvl w:val="0"/>
                <w:numId w:val="24"/>
              </w:numPr>
              <w:overflowPunct/>
              <w:autoSpaceDE/>
              <w:autoSpaceDN/>
              <w:adjustRightInd/>
              <w:spacing w:after="0"/>
              <w:jc w:val="both"/>
              <w:textAlignment w:val="auto"/>
              <w:rPr>
                <w:rFonts w:ascii="Times" w:hAnsi="Times"/>
                <w:szCs w:val="24"/>
                <w:lang w:val="en-US"/>
              </w:rPr>
            </w:pPr>
            <w:r w:rsidRPr="002A74B0">
              <w:rPr>
                <w:rFonts w:ascii="Times" w:hAnsi="Times"/>
                <w:szCs w:val="24"/>
                <w:lang w:val="en-US"/>
              </w:rPr>
              <w:t>Option 1: All or part of the MPDCCH are mapped into the DL control region.</w:t>
            </w:r>
          </w:p>
          <w:p w14:paraId="38655802" w14:textId="77777777" w:rsidR="00CF39EE" w:rsidRPr="002A74B0" w:rsidRDefault="00CF39EE" w:rsidP="00CF39EE">
            <w:pPr>
              <w:numPr>
                <w:ilvl w:val="0"/>
                <w:numId w:val="24"/>
              </w:numPr>
              <w:overflowPunct/>
              <w:autoSpaceDE/>
              <w:autoSpaceDN/>
              <w:adjustRightInd/>
              <w:spacing w:after="0"/>
              <w:jc w:val="both"/>
              <w:textAlignment w:val="auto"/>
              <w:rPr>
                <w:rFonts w:ascii="Times" w:hAnsi="Times"/>
                <w:szCs w:val="24"/>
                <w:lang w:val="en-US"/>
              </w:rPr>
            </w:pPr>
            <w:r w:rsidRPr="002A74B0">
              <w:rPr>
                <w:rFonts w:ascii="Times" w:hAnsi="Times"/>
                <w:szCs w:val="24"/>
                <w:lang w:val="en-US"/>
              </w:rPr>
              <w:t>Option 2: MPDCCH are rate-matched to all OFDM symbols. FFS on RE mapping details.</w:t>
            </w:r>
          </w:p>
          <w:p w14:paraId="22EE265C" w14:textId="77777777" w:rsidR="00CF39EE" w:rsidRPr="002A74B0" w:rsidRDefault="00CF39EE" w:rsidP="00CF39EE">
            <w:pPr>
              <w:overflowPunct/>
              <w:autoSpaceDE/>
              <w:autoSpaceDN/>
              <w:adjustRightInd/>
              <w:spacing w:after="0"/>
              <w:ind w:left="720" w:hanging="720"/>
              <w:jc w:val="both"/>
              <w:textAlignment w:val="auto"/>
              <w:rPr>
                <w:rFonts w:ascii="Times" w:hAnsi="Times"/>
                <w:szCs w:val="24"/>
                <w:lang w:val="en-US"/>
              </w:rPr>
            </w:pPr>
            <w:r w:rsidRPr="002A74B0">
              <w:rPr>
                <w:rFonts w:ascii="Times" w:hAnsi="Times"/>
                <w:szCs w:val="24"/>
                <w:lang w:val="en-US"/>
              </w:rPr>
              <w:t>For PDSCH</w:t>
            </w:r>
          </w:p>
          <w:p w14:paraId="254264E6" w14:textId="082B470C" w:rsidR="00CF39EE" w:rsidRDefault="00CF39EE" w:rsidP="00CF39EE">
            <w:pPr>
              <w:numPr>
                <w:ilvl w:val="0"/>
                <w:numId w:val="24"/>
              </w:numPr>
              <w:overflowPunct/>
              <w:autoSpaceDE/>
              <w:autoSpaceDN/>
              <w:adjustRightInd/>
              <w:spacing w:after="0"/>
              <w:jc w:val="both"/>
              <w:textAlignment w:val="auto"/>
              <w:rPr>
                <w:rFonts w:ascii="Times" w:hAnsi="Times"/>
                <w:szCs w:val="24"/>
                <w:lang w:val="en-US"/>
              </w:rPr>
            </w:pPr>
            <w:r w:rsidRPr="002A74B0">
              <w:rPr>
                <w:rFonts w:ascii="Times" w:hAnsi="Times"/>
                <w:szCs w:val="24"/>
                <w:lang w:val="en-US"/>
              </w:rPr>
              <w:t>Option A: All or part of the PDSCH are mapped into the DL control region.</w:t>
            </w:r>
          </w:p>
          <w:p w14:paraId="3CC6B36D" w14:textId="24342683" w:rsidR="00CF39EE" w:rsidRPr="0037535C" w:rsidRDefault="00CF39EE" w:rsidP="0037535C">
            <w:pPr>
              <w:numPr>
                <w:ilvl w:val="0"/>
                <w:numId w:val="24"/>
              </w:numPr>
              <w:overflowPunct/>
              <w:autoSpaceDE/>
              <w:autoSpaceDN/>
              <w:adjustRightInd/>
              <w:spacing w:after="0"/>
              <w:jc w:val="both"/>
              <w:textAlignment w:val="auto"/>
              <w:rPr>
                <w:rFonts w:ascii="Times" w:hAnsi="Times"/>
                <w:szCs w:val="24"/>
                <w:lang w:val="en-US"/>
              </w:rPr>
            </w:pPr>
            <w:r w:rsidRPr="0037535C">
              <w:rPr>
                <w:rFonts w:ascii="Times" w:hAnsi="Times"/>
                <w:szCs w:val="24"/>
                <w:lang w:val="en-US"/>
              </w:rPr>
              <w:t>Option B: PDSCH are rate-matched to all OFDM symbols. FFS on RE mapping details.</w:t>
            </w:r>
          </w:p>
          <w:p w14:paraId="6F65F9C3" w14:textId="6DADBA08" w:rsidR="0037535C" w:rsidRDefault="0037535C" w:rsidP="0037535C">
            <w:pPr>
              <w:pStyle w:val="BodyText"/>
              <w:rPr>
                <w:lang w:val="en-US"/>
              </w:rPr>
            </w:pPr>
          </w:p>
        </w:tc>
      </w:tr>
    </w:tbl>
    <w:p w14:paraId="72A7E418" w14:textId="77777777" w:rsidR="00CF39EE" w:rsidRDefault="00CF39EE" w:rsidP="00FE4134">
      <w:pPr>
        <w:pStyle w:val="BodyText"/>
        <w:rPr>
          <w:lang w:val="en-US"/>
        </w:rPr>
      </w:pPr>
    </w:p>
    <w:p w14:paraId="5ACC1410" w14:textId="2F31C937" w:rsidR="001915F4" w:rsidRDefault="00FE4134" w:rsidP="00C874EF">
      <w:pPr>
        <w:pStyle w:val="BodyText"/>
        <w:rPr>
          <w:lang w:val="en-US"/>
        </w:rPr>
      </w:pPr>
      <w:r w:rsidRPr="0069263B">
        <w:rPr>
          <w:lang w:val="en-US"/>
        </w:rPr>
        <w:t xml:space="preserve"> </w:t>
      </w:r>
      <w:r w:rsidR="001915F4">
        <w:rPr>
          <w:lang w:val="en-US"/>
        </w:rPr>
        <w:t>In RAN1#94bis the following were agreed:</w:t>
      </w:r>
    </w:p>
    <w:tbl>
      <w:tblPr>
        <w:tblStyle w:val="TableGrid"/>
        <w:tblW w:w="0" w:type="auto"/>
        <w:tblLook w:val="04A0" w:firstRow="1" w:lastRow="0" w:firstColumn="1" w:lastColumn="0" w:noHBand="0" w:noVBand="1"/>
      </w:tblPr>
      <w:tblGrid>
        <w:gridCol w:w="9629"/>
      </w:tblGrid>
      <w:tr w:rsidR="001915F4" w14:paraId="0F5B1F44" w14:textId="77777777" w:rsidTr="001915F4">
        <w:tc>
          <w:tcPr>
            <w:tcW w:w="9629" w:type="dxa"/>
          </w:tcPr>
          <w:p w14:paraId="35CB1E90" w14:textId="77777777" w:rsidR="001915F4" w:rsidRPr="00643F75" w:rsidRDefault="001915F4" w:rsidP="001915F4">
            <w:pPr>
              <w:rPr>
                <w:b/>
                <w:highlight w:val="green"/>
                <w:lang w:eastAsia="x-none"/>
              </w:rPr>
            </w:pPr>
            <w:r w:rsidRPr="00643F75">
              <w:rPr>
                <w:b/>
                <w:highlight w:val="green"/>
                <w:lang w:eastAsia="x-none"/>
              </w:rPr>
              <w:t xml:space="preserve">Agreement </w:t>
            </w:r>
          </w:p>
          <w:p w14:paraId="4C605041" w14:textId="77777777" w:rsidR="001915F4" w:rsidRPr="00643F75" w:rsidRDefault="001915F4" w:rsidP="001915F4">
            <w:pPr>
              <w:rPr>
                <w:lang w:eastAsia="x-none"/>
              </w:rPr>
            </w:pPr>
            <w:r w:rsidRPr="00643F75">
              <w:rPr>
                <w:bCs/>
                <w:noProof/>
                <w:lang w:val="en-US" w:eastAsia="en-GB"/>
              </w:rPr>
              <w:t>Support PDSCH broadcast transmission in LTE control channel region</w:t>
            </w:r>
          </w:p>
          <w:p w14:paraId="25F3B491" w14:textId="77777777" w:rsidR="001915F4" w:rsidRDefault="001915F4" w:rsidP="001915F4">
            <w:pPr>
              <w:rPr>
                <w:lang w:eastAsia="x-none"/>
              </w:rPr>
            </w:pPr>
          </w:p>
          <w:p w14:paraId="1162E82F" w14:textId="77777777" w:rsidR="001915F4" w:rsidRPr="007A7DEE" w:rsidRDefault="001915F4" w:rsidP="001915F4">
            <w:pPr>
              <w:jc w:val="both"/>
              <w:rPr>
                <w:rFonts w:eastAsia="MS Mincho"/>
                <w:b/>
                <w:highlight w:val="green"/>
                <w:lang w:val="en-US"/>
              </w:rPr>
            </w:pPr>
            <w:r w:rsidRPr="007A7DEE">
              <w:rPr>
                <w:rFonts w:eastAsia="MS Mincho"/>
                <w:b/>
                <w:highlight w:val="green"/>
                <w:lang w:val="en-US"/>
              </w:rPr>
              <w:t>Agreement</w:t>
            </w:r>
          </w:p>
          <w:p w14:paraId="1A720DD2" w14:textId="77777777" w:rsidR="001915F4" w:rsidRPr="007A7DEE" w:rsidRDefault="001915F4" w:rsidP="001915F4">
            <w:pPr>
              <w:jc w:val="both"/>
              <w:rPr>
                <w:rFonts w:eastAsia="MS Mincho"/>
                <w:lang w:val="en-US"/>
              </w:rPr>
            </w:pPr>
            <w:r w:rsidRPr="007A7DEE">
              <w:rPr>
                <w:rFonts w:eastAsia="MS Mincho"/>
                <w:lang w:val="en-US"/>
              </w:rPr>
              <w:lastRenderedPageBreak/>
              <w:t>PDSCH are rate-matched in a backward compatible manner on all available OFDM symbols. FFS on RE mapping details.</w:t>
            </w:r>
          </w:p>
          <w:p w14:paraId="1D571E70" w14:textId="77777777" w:rsidR="001915F4" w:rsidRDefault="001915F4" w:rsidP="00C874EF">
            <w:pPr>
              <w:pStyle w:val="BodyText"/>
              <w:rPr>
                <w:lang w:val="en-US"/>
              </w:rPr>
            </w:pPr>
          </w:p>
          <w:p w14:paraId="4FB6C401" w14:textId="77777777" w:rsidR="00CF3D87" w:rsidRPr="007A7DEE" w:rsidRDefault="00CF3D87" w:rsidP="00CF3D87">
            <w:pPr>
              <w:jc w:val="both"/>
              <w:rPr>
                <w:rFonts w:eastAsia="MS Mincho"/>
                <w:b/>
                <w:highlight w:val="green"/>
                <w:lang w:val="en-US"/>
              </w:rPr>
            </w:pPr>
            <w:r w:rsidRPr="007A7DEE">
              <w:rPr>
                <w:rFonts w:eastAsia="MS Mincho"/>
                <w:b/>
                <w:highlight w:val="green"/>
                <w:lang w:val="en-US"/>
              </w:rPr>
              <w:t>Agreement</w:t>
            </w:r>
          </w:p>
          <w:p w14:paraId="51CF69BD" w14:textId="77777777" w:rsidR="00CF3D87" w:rsidRDefault="00CF3D87" w:rsidP="00CF3D87">
            <w:pPr>
              <w:rPr>
                <w:rFonts w:ascii="Times" w:eastAsia="Batang" w:hAnsi="Times" w:cs="Arial"/>
                <w:szCs w:val="24"/>
                <w:lang w:eastAsia="en-US"/>
              </w:rPr>
            </w:pPr>
            <w:r>
              <w:rPr>
                <w:rFonts w:ascii="Times" w:eastAsia="Batang" w:hAnsi="Times" w:cs="Arial"/>
                <w:szCs w:val="24"/>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15C706C3" w14:textId="77777777" w:rsidR="00CF3D87" w:rsidRDefault="00CF3D87" w:rsidP="00C874EF">
            <w:pPr>
              <w:pStyle w:val="BodyText"/>
              <w:rPr>
                <w:lang w:val="en-US"/>
              </w:rPr>
            </w:pPr>
          </w:p>
        </w:tc>
      </w:tr>
    </w:tbl>
    <w:p w14:paraId="49070FC1" w14:textId="24010392" w:rsidR="001915F4" w:rsidRDefault="001915F4" w:rsidP="00C874EF">
      <w:pPr>
        <w:pStyle w:val="BodyText"/>
        <w:rPr>
          <w:lang w:val="en-US"/>
        </w:rPr>
      </w:pPr>
    </w:p>
    <w:p w14:paraId="55F2C18B" w14:textId="7B217642" w:rsidR="001915F4" w:rsidRDefault="001915F4" w:rsidP="00C874EF">
      <w:pPr>
        <w:pStyle w:val="BodyText"/>
        <w:rPr>
          <w:lang w:val="en-US"/>
        </w:rPr>
      </w:pPr>
      <w:r>
        <w:rPr>
          <w:lang w:val="en-US"/>
        </w:rPr>
        <w:t>And RAN2#103bis made the following agreement</w:t>
      </w:r>
      <w:r w:rsidR="00FC0C99">
        <w:rPr>
          <w:lang w:val="en-US"/>
        </w:rPr>
        <w:t>s</w:t>
      </w:r>
      <w:r>
        <w:rPr>
          <w:lang w:val="en-US"/>
        </w:rPr>
        <w:t xml:space="preserve">: </w:t>
      </w:r>
    </w:p>
    <w:tbl>
      <w:tblPr>
        <w:tblStyle w:val="TableGrid"/>
        <w:tblW w:w="0" w:type="auto"/>
        <w:tblLook w:val="04A0" w:firstRow="1" w:lastRow="0" w:firstColumn="1" w:lastColumn="0" w:noHBand="0" w:noVBand="1"/>
      </w:tblPr>
      <w:tblGrid>
        <w:gridCol w:w="9629"/>
      </w:tblGrid>
      <w:tr w:rsidR="001915F4" w14:paraId="18497545" w14:textId="77777777" w:rsidTr="001915F4">
        <w:tc>
          <w:tcPr>
            <w:tcW w:w="9629" w:type="dxa"/>
          </w:tcPr>
          <w:p w14:paraId="145D57EC" w14:textId="77777777" w:rsidR="00FC0C99" w:rsidRPr="00FC0C99" w:rsidRDefault="00FC0C99" w:rsidP="001915F4">
            <w:pPr>
              <w:ind w:left="1259"/>
              <w:rPr>
                <w:szCs w:val="20"/>
                <w:lang w:val="en-GB"/>
              </w:rPr>
            </w:pPr>
            <w:r w:rsidRPr="00FC0C99">
              <w:rPr>
                <w:szCs w:val="20"/>
                <w:lang w:val="en-GB"/>
              </w:rPr>
              <w:t>=&gt; The standalone deployment supports legacy operations for legacy BL UEs or UEs in CE mode.</w:t>
            </w:r>
          </w:p>
          <w:p w14:paraId="7E9E41A6" w14:textId="56E117DD" w:rsidR="00FC0C99" w:rsidRPr="00FC0C99" w:rsidRDefault="00FC0C99" w:rsidP="001915F4">
            <w:pPr>
              <w:ind w:left="1259"/>
            </w:pPr>
            <w:r w:rsidRPr="00FC0C99">
              <w:rPr>
                <w:lang w:val="en-GB"/>
              </w:rPr>
              <w:t>=&gt; LTE control channel region for DL transmission is supported for Rel-16 BL UEs and UEs in CE mode.</w:t>
            </w:r>
          </w:p>
        </w:tc>
      </w:tr>
    </w:tbl>
    <w:p w14:paraId="3DA30030" w14:textId="02A21383" w:rsidR="001915F4" w:rsidRDefault="001915F4" w:rsidP="00C874EF">
      <w:pPr>
        <w:pStyle w:val="BodyText"/>
        <w:rPr>
          <w:lang w:val="en-US"/>
        </w:rPr>
      </w:pPr>
    </w:p>
    <w:p w14:paraId="7F90F91D" w14:textId="08F7CBB4" w:rsidR="008D11ED" w:rsidRDefault="006029B5" w:rsidP="00C874EF">
      <w:pPr>
        <w:pStyle w:val="BodyText"/>
        <w:rPr>
          <w:lang w:val="en-US"/>
        </w:rPr>
      </w:pPr>
      <w:r>
        <w:rPr>
          <w:lang w:val="en-US"/>
        </w:rPr>
        <w:t>In this contribution we continue the discussion started in RAN2#103bis on general aspects of the feature and consider some more details regarding which operations and which type of UEs stand-alone deployments should support.</w:t>
      </w:r>
    </w:p>
    <w:p w14:paraId="31A51D9A" w14:textId="3F685CE9" w:rsidR="004000E8" w:rsidRDefault="00230D18" w:rsidP="00CE0424">
      <w:pPr>
        <w:pStyle w:val="Heading1"/>
      </w:pPr>
      <w:bookmarkStart w:id="0" w:name="_Ref178064866"/>
      <w:r>
        <w:t>2</w:t>
      </w:r>
      <w:r>
        <w:tab/>
      </w:r>
      <w:r w:rsidR="004000E8" w:rsidRPr="00CE0424">
        <w:t>Discussion</w:t>
      </w:r>
      <w:bookmarkEnd w:id="0"/>
    </w:p>
    <w:p w14:paraId="0DBDFC15" w14:textId="77777777" w:rsidR="00817C8F" w:rsidRDefault="00817C8F" w:rsidP="00817C8F">
      <w:pPr>
        <w:pStyle w:val="Heading2"/>
      </w:pPr>
      <w:r>
        <w:t>2.1</w:t>
      </w:r>
      <w:r>
        <w:tab/>
        <w:t>General aspects</w:t>
      </w:r>
    </w:p>
    <w:p w14:paraId="206D7E4D" w14:textId="7D8B2641" w:rsidR="00C874EF" w:rsidRPr="0069263B" w:rsidRDefault="00C874EF" w:rsidP="00C874EF">
      <w:pPr>
        <w:pStyle w:val="BodyText"/>
        <w:rPr>
          <w:lang w:val="en-US"/>
        </w:rPr>
      </w:pPr>
      <w:r w:rsidRPr="0069263B">
        <w:rPr>
          <w:lang w:val="en-US"/>
        </w:rPr>
        <w:t xml:space="preserve">One of the differences in a stand-alone LTE-MTC deployment compared to LTE-MTC deployed within a Rel-13/14/15 LTE carrier is that the LTE control region is no longer occupied by legacy Rel-8 LTE channels but can be used for the channels relevant for LTE-MTC. Specifically, the WI objective targets MPDCCH/PDSCH transmission in the </w:t>
      </w:r>
      <w:r w:rsidR="003713AA">
        <w:rPr>
          <w:lang w:val="en-US"/>
        </w:rPr>
        <w:t>PCFICH/</w:t>
      </w:r>
      <w:r w:rsidRPr="0069263B">
        <w:rPr>
          <w:lang w:val="en-US"/>
        </w:rPr>
        <w:t>PDCCH</w:t>
      </w:r>
      <w:r w:rsidR="003713AA">
        <w:rPr>
          <w:lang w:val="en-US"/>
        </w:rPr>
        <w:t>/PHICH</w:t>
      </w:r>
      <w:r w:rsidRPr="0069263B">
        <w:rPr>
          <w:lang w:val="en-US"/>
        </w:rPr>
        <w:t xml:space="preserve"> region. </w:t>
      </w:r>
    </w:p>
    <w:p w14:paraId="32C4C1D8" w14:textId="5298DB83" w:rsidR="00D17F9A" w:rsidRDefault="00E5423A" w:rsidP="007F1082">
      <w:pPr>
        <w:pStyle w:val="BodyText"/>
        <w:rPr>
          <w:lang w:val="en-US"/>
        </w:rPr>
      </w:pPr>
      <w:r>
        <w:rPr>
          <w:lang w:val="en-US"/>
        </w:rPr>
        <w:t>The</w:t>
      </w:r>
      <w:r w:rsidR="00C874EF" w:rsidRPr="0069263B">
        <w:rPr>
          <w:lang w:val="en-US"/>
        </w:rPr>
        <w:t xml:space="preserve"> </w:t>
      </w:r>
      <w:r w:rsidR="00292AF7">
        <w:rPr>
          <w:lang w:val="en-US"/>
        </w:rPr>
        <w:t xml:space="preserve">legacy </w:t>
      </w:r>
      <w:r w:rsidR="003713AA">
        <w:rPr>
          <w:lang w:val="en-US"/>
        </w:rPr>
        <w:t>PCFICH/</w:t>
      </w:r>
      <w:r w:rsidR="00C874EF" w:rsidRPr="0069263B">
        <w:rPr>
          <w:lang w:val="en-US"/>
        </w:rPr>
        <w:t>PDCCH</w:t>
      </w:r>
      <w:r w:rsidR="003713AA">
        <w:rPr>
          <w:lang w:val="en-US"/>
        </w:rPr>
        <w:t>/PHICH</w:t>
      </w:r>
      <w:r w:rsidR="00C874EF" w:rsidRPr="0069263B">
        <w:rPr>
          <w:lang w:val="en-US"/>
        </w:rPr>
        <w:t xml:space="preserve"> </w:t>
      </w:r>
      <w:r>
        <w:rPr>
          <w:lang w:val="en-US"/>
        </w:rPr>
        <w:t xml:space="preserve">need not be </w:t>
      </w:r>
      <w:r w:rsidR="00C874EF" w:rsidRPr="0069263B">
        <w:rPr>
          <w:lang w:val="en-US"/>
        </w:rPr>
        <w:t>transmitted in a stand-alone LTE-MTC deployment</w:t>
      </w:r>
      <w:r>
        <w:rPr>
          <w:lang w:val="en-US"/>
        </w:rPr>
        <w:t xml:space="preserve">. When legacy </w:t>
      </w:r>
      <w:r w:rsidR="003713AA">
        <w:rPr>
          <w:lang w:val="en-US"/>
        </w:rPr>
        <w:t>PCFICH/</w:t>
      </w:r>
      <w:r>
        <w:rPr>
          <w:lang w:val="en-US"/>
        </w:rPr>
        <w:t>PDCCH</w:t>
      </w:r>
      <w:r w:rsidR="003713AA">
        <w:rPr>
          <w:lang w:val="en-US"/>
        </w:rPr>
        <w:t>/PHICH</w:t>
      </w:r>
      <w:r>
        <w:rPr>
          <w:lang w:val="en-US"/>
        </w:rPr>
        <w:t xml:space="preserve"> is not transmitted, the LTE control reg</w:t>
      </w:r>
      <w:r w:rsidR="00C874EF" w:rsidRPr="0069263B">
        <w:rPr>
          <w:lang w:val="en-US"/>
        </w:rPr>
        <w:t xml:space="preserve">ion can </w:t>
      </w:r>
      <w:r w:rsidR="00941330">
        <w:rPr>
          <w:lang w:val="en-US"/>
        </w:rPr>
        <w:t xml:space="preserve">already in Rel-13/14/15 </w:t>
      </w:r>
      <w:r w:rsidR="00C874EF" w:rsidRPr="0069263B">
        <w:rPr>
          <w:lang w:val="en-US"/>
        </w:rPr>
        <w:t xml:space="preserve">be set to a minimum number of OFDM symbols, which is two in a 1.4 MHz system and one for all other system bandwidths. </w:t>
      </w:r>
    </w:p>
    <w:p w14:paraId="1B114BCC" w14:textId="61A0C920" w:rsidR="007C6E1E" w:rsidRDefault="007224CC" w:rsidP="007C6E1E">
      <w:pPr>
        <w:pStyle w:val="BodyText"/>
      </w:pPr>
      <w:r>
        <w:t xml:space="preserve">In </w:t>
      </w:r>
      <w:r w:rsidR="001D7D06">
        <w:t xml:space="preserve">more </w:t>
      </w:r>
      <w:r>
        <w:t>detail, t</w:t>
      </w:r>
      <w:r w:rsidR="007C6E1E">
        <w:t xml:space="preserve">he starting OFDM symbol for </w:t>
      </w:r>
      <w:r w:rsidR="00560CF9">
        <w:t xml:space="preserve">MPDCCH/PDSCH transmission for </w:t>
      </w:r>
      <w:r w:rsidR="007C6E1E">
        <w:t xml:space="preserve">BL UEs and UEs in CEs is given by </w:t>
      </w:r>
      <w:r w:rsidR="007C6E1E" w:rsidRPr="001A6CFB">
        <w:rPr>
          <w:i/>
        </w:rPr>
        <w:t>startSymbolBR</w:t>
      </w:r>
      <w:r w:rsidR="007C6E1E">
        <w:t xml:space="preserve"> in SIB1-BR. Depending on the cell bandwidth in </w:t>
      </w:r>
      <w:r w:rsidR="006E7A9A">
        <w:t xml:space="preserve">number of </w:t>
      </w:r>
      <w:r w:rsidR="007C6E1E">
        <w:t>PRBs, the value range is either {1,2,3} or {2,3,4}, for &gt; 10 PRBs and ≤ 10 PRBs, correspondingly. For SIB1-BR reception</w:t>
      </w:r>
      <w:r w:rsidR="001D7D06">
        <w:t xml:space="preserve"> on PDSCH, the starting OFDM symbol is the largest value of the range, i.e. either</w:t>
      </w:r>
      <w:r w:rsidR="007C6E1E">
        <w:t xml:space="preserve"> 3 </w:t>
      </w:r>
      <w:r w:rsidR="001D7D06">
        <w:t>or 4</w:t>
      </w:r>
      <w:r w:rsidR="005C55AF">
        <w:t xml:space="preserve"> </w:t>
      </w:r>
      <w:r w:rsidR="005C55AF">
        <w:fldChar w:fldCharType="begin"/>
      </w:r>
      <w:r w:rsidR="005C55AF">
        <w:instrText xml:space="preserve"> REF _Ref528675000 \n \h </w:instrText>
      </w:r>
      <w:r w:rsidR="005C55AF">
        <w:fldChar w:fldCharType="separate"/>
      </w:r>
      <w:r w:rsidR="002D2466">
        <w:t>[3]</w:t>
      </w:r>
      <w:r w:rsidR="005C55AF">
        <w:fldChar w:fldCharType="end"/>
      </w:r>
      <w:r w:rsidR="005C55AF">
        <w:t>.</w:t>
      </w:r>
    </w:p>
    <w:p w14:paraId="7C7C782E" w14:textId="7B26BA5D" w:rsidR="005251A4" w:rsidRPr="005251A4" w:rsidRDefault="005251A4" w:rsidP="005251A4">
      <w:pPr>
        <w:pStyle w:val="Observation"/>
        <w:rPr>
          <w:lang w:val="en-US"/>
        </w:rPr>
      </w:pPr>
      <w:bookmarkStart w:id="1" w:name="_Toc528838297"/>
      <w:r>
        <w:rPr>
          <w:lang w:val="en-US"/>
        </w:rPr>
        <w:t>C</w:t>
      </w:r>
      <w:r w:rsidR="00E5423A">
        <w:rPr>
          <w:lang w:val="en-US"/>
        </w:rPr>
        <w:t>onfiguration for</w:t>
      </w:r>
      <w:r w:rsidR="001D5B20">
        <w:rPr>
          <w:lang w:val="en-US"/>
        </w:rPr>
        <w:t xml:space="preserve"> LTE control region in stand-alone LTE-M</w:t>
      </w:r>
      <w:r w:rsidR="007C1632">
        <w:rPr>
          <w:lang w:val="en-US"/>
        </w:rPr>
        <w:t>TC</w:t>
      </w:r>
      <w:r w:rsidR="001D5B20">
        <w:rPr>
          <w:lang w:val="en-US"/>
        </w:rPr>
        <w:t xml:space="preserve"> cell </w:t>
      </w:r>
      <w:r>
        <w:rPr>
          <w:lang w:val="en-US"/>
        </w:rPr>
        <w:t xml:space="preserve">can range from </w:t>
      </w:r>
      <w:r w:rsidR="00E404A9">
        <w:rPr>
          <w:lang w:val="en-US"/>
        </w:rPr>
        <w:t>one</w:t>
      </w:r>
      <w:r w:rsidR="007224CC">
        <w:rPr>
          <w:lang w:val="en-US"/>
        </w:rPr>
        <w:t xml:space="preserve"> to four </w:t>
      </w:r>
      <w:r w:rsidR="00C40F47">
        <w:rPr>
          <w:lang w:val="en-US"/>
        </w:rPr>
        <w:t xml:space="preserve">OFDM symbols. </w:t>
      </w:r>
      <w:r w:rsidR="002E2B0B">
        <w:rPr>
          <w:lang w:val="en-US"/>
        </w:rPr>
        <w:t xml:space="preserve">For </w:t>
      </w:r>
      <w:r w:rsidR="00E404A9">
        <w:rPr>
          <w:lang w:val="en-US"/>
        </w:rPr>
        <w:t xml:space="preserve">a pure </w:t>
      </w:r>
      <w:r w:rsidR="002E2B0B">
        <w:rPr>
          <w:lang w:val="en-US"/>
        </w:rPr>
        <w:t>stand</w:t>
      </w:r>
      <w:r w:rsidR="00E404A9">
        <w:rPr>
          <w:lang w:val="en-US"/>
        </w:rPr>
        <w:t>-</w:t>
      </w:r>
      <w:r w:rsidR="002E2B0B">
        <w:rPr>
          <w:lang w:val="en-US"/>
        </w:rPr>
        <w:t>alone</w:t>
      </w:r>
      <w:r w:rsidR="00E404A9">
        <w:rPr>
          <w:lang w:val="en-US"/>
        </w:rPr>
        <w:t xml:space="preserve"> deployment</w:t>
      </w:r>
      <w:r w:rsidR="002E2B0B">
        <w:rPr>
          <w:lang w:val="en-US"/>
        </w:rPr>
        <w:t xml:space="preserve">, this </w:t>
      </w:r>
      <w:r w:rsidR="003E64BA">
        <w:rPr>
          <w:lang w:val="en-US"/>
        </w:rPr>
        <w:t>may</w:t>
      </w:r>
      <w:r w:rsidR="002E2B0B">
        <w:rPr>
          <w:lang w:val="en-US"/>
        </w:rPr>
        <w:t xml:space="preserve"> be set as low as possible, i.e., </w:t>
      </w:r>
      <w:r w:rsidR="00E404A9">
        <w:rPr>
          <w:lang w:val="en-US"/>
        </w:rPr>
        <w:t xml:space="preserve">one or </w:t>
      </w:r>
      <w:r w:rsidR="002E2B0B">
        <w:rPr>
          <w:lang w:val="en-US"/>
        </w:rPr>
        <w:t xml:space="preserve">two symbols, but it </w:t>
      </w:r>
      <w:r w:rsidR="00C40F47">
        <w:rPr>
          <w:lang w:val="en-US"/>
        </w:rPr>
        <w:t xml:space="preserve">may </w:t>
      </w:r>
      <w:r w:rsidR="00E404A9">
        <w:rPr>
          <w:lang w:val="en-US"/>
        </w:rPr>
        <w:t xml:space="preserve">also </w:t>
      </w:r>
      <w:r w:rsidR="00C40F47">
        <w:rPr>
          <w:lang w:val="en-US"/>
        </w:rPr>
        <w:t>be higher, e.g. due to coexistence reasons.</w:t>
      </w:r>
      <w:bookmarkEnd w:id="1"/>
      <w:r w:rsidR="00C40F47">
        <w:rPr>
          <w:lang w:val="en-US"/>
        </w:rPr>
        <w:t xml:space="preserve"> </w:t>
      </w:r>
    </w:p>
    <w:p w14:paraId="60C92ACB" w14:textId="7D0CD36E" w:rsidR="00A4236E" w:rsidRDefault="00467EB1" w:rsidP="007F1082">
      <w:pPr>
        <w:pStyle w:val="BodyText"/>
        <w:rPr>
          <w:lang w:val="en-US"/>
        </w:rPr>
      </w:pPr>
      <w:r>
        <w:rPr>
          <w:lang w:val="en-US"/>
        </w:rPr>
        <w:t xml:space="preserve">If no legacy </w:t>
      </w:r>
      <w:r w:rsidR="003713AA">
        <w:rPr>
          <w:lang w:val="en-US"/>
        </w:rPr>
        <w:t>PCFICH/</w:t>
      </w:r>
      <w:r>
        <w:rPr>
          <w:lang w:val="en-US"/>
        </w:rPr>
        <w:t>PDCCH</w:t>
      </w:r>
      <w:r w:rsidR="003713AA">
        <w:rPr>
          <w:lang w:val="en-US"/>
        </w:rPr>
        <w:t>/PHICH</w:t>
      </w:r>
      <w:r>
        <w:rPr>
          <w:lang w:val="en-US"/>
        </w:rPr>
        <w:t xml:space="preserve"> is transmitted, then it is obvious non-BL UEs which do not support coverage enhancements cannot operate in the cell. SIB1 would not be transmitted, </w:t>
      </w:r>
      <w:r w:rsidR="00296AFA">
        <w:rPr>
          <w:lang w:val="en-US"/>
        </w:rPr>
        <w:t xml:space="preserve">and </w:t>
      </w:r>
      <w:r w:rsidR="00A1129A">
        <w:rPr>
          <w:lang w:val="en-US"/>
        </w:rPr>
        <w:t xml:space="preserve">if the </w:t>
      </w:r>
      <w:r w:rsidR="00296AFA">
        <w:rPr>
          <w:lang w:val="en-US"/>
        </w:rPr>
        <w:t xml:space="preserve">UEs </w:t>
      </w:r>
      <w:r w:rsidR="00A1129A">
        <w:rPr>
          <w:lang w:val="en-US"/>
        </w:rPr>
        <w:t>cannot acquire SIB1</w:t>
      </w:r>
      <w:r w:rsidR="00296AFA">
        <w:rPr>
          <w:lang w:val="en-US"/>
        </w:rPr>
        <w:t xml:space="preserve"> </w:t>
      </w:r>
      <w:r>
        <w:rPr>
          <w:lang w:val="en-US"/>
        </w:rPr>
        <w:t>the cell</w:t>
      </w:r>
      <w:r w:rsidR="00D0693C">
        <w:rPr>
          <w:lang w:val="en-US"/>
        </w:rPr>
        <w:t xml:space="preserve"> would be considered</w:t>
      </w:r>
      <w:r>
        <w:rPr>
          <w:lang w:val="en-US"/>
        </w:rPr>
        <w:t xml:space="preserve"> as barred </w:t>
      </w:r>
      <w:r w:rsidR="00A4236E">
        <w:rPr>
          <w:lang w:val="en-US"/>
        </w:rPr>
        <w:fldChar w:fldCharType="begin"/>
      </w:r>
      <w:r w:rsidR="00A4236E">
        <w:rPr>
          <w:lang w:val="en-US"/>
        </w:rPr>
        <w:instrText xml:space="preserve"> REF _Ref528336003 \r \h </w:instrText>
      </w:r>
      <w:r w:rsidR="00A4236E">
        <w:rPr>
          <w:lang w:val="en-US"/>
        </w:rPr>
      </w:r>
      <w:r w:rsidR="00A4236E">
        <w:rPr>
          <w:lang w:val="en-US"/>
        </w:rPr>
        <w:fldChar w:fldCharType="separate"/>
      </w:r>
      <w:r w:rsidR="002D2466">
        <w:rPr>
          <w:lang w:val="en-US"/>
        </w:rPr>
        <w:t>[2]</w:t>
      </w:r>
      <w:r w:rsidR="00A4236E">
        <w:rPr>
          <w:lang w:val="en-US"/>
        </w:rPr>
        <w:fldChar w:fldCharType="end"/>
      </w:r>
      <w:r w:rsidR="00A4236E">
        <w:rPr>
          <w:lang w:val="en-US"/>
        </w:rPr>
        <w:t xml:space="preserve">. Therefore, if there is no intention to provide legacy </w:t>
      </w:r>
      <w:r w:rsidR="009601B9">
        <w:rPr>
          <w:lang w:val="en-US"/>
        </w:rPr>
        <w:t>PCFICH/</w:t>
      </w:r>
      <w:r w:rsidR="00A4236E">
        <w:rPr>
          <w:lang w:val="en-US"/>
        </w:rPr>
        <w:t>PDCCH</w:t>
      </w:r>
      <w:r w:rsidR="009601B9">
        <w:rPr>
          <w:lang w:val="en-US"/>
        </w:rPr>
        <w:t>/PHICH</w:t>
      </w:r>
      <w:r w:rsidR="00A4236E">
        <w:rPr>
          <w:lang w:val="en-US"/>
        </w:rPr>
        <w:t xml:space="preserve"> transmissions for any use case, the following should be agreed:</w:t>
      </w:r>
    </w:p>
    <w:p w14:paraId="76649571" w14:textId="6743BC19" w:rsidR="00642493" w:rsidRPr="00A850C0" w:rsidRDefault="00A624B6" w:rsidP="00A850C0">
      <w:pPr>
        <w:pStyle w:val="Proposal"/>
        <w:overflowPunct/>
        <w:autoSpaceDE/>
        <w:autoSpaceDN/>
        <w:adjustRightInd/>
        <w:spacing w:line="259" w:lineRule="auto"/>
        <w:textAlignment w:val="auto"/>
        <w:rPr>
          <w:lang w:val="en-US"/>
        </w:rPr>
      </w:pPr>
      <w:bookmarkStart w:id="2" w:name="_Toc528838846"/>
      <w:r>
        <w:rPr>
          <w:lang w:val="en-US"/>
        </w:rPr>
        <w:t>N</w:t>
      </w:r>
      <w:r w:rsidR="00A4236E">
        <w:rPr>
          <w:lang w:val="en-US"/>
        </w:rPr>
        <w:t xml:space="preserve">on-BL UEs </w:t>
      </w:r>
      <w:r>
        <w:rPr>
          <w:lang w:val="en-US"/>
        </w:rPr>
        <w:t xml:space="preserve">which do </w:t>
      </w:r>
      <w:r w:rsidR="00A4236E">
        <w:rPr>
          <w:lang w:val="en-US"/>
        </w:rPr>
        <w:t xml:space="preserve">not </w:t>
      </w:r>
      <w:r w:rsidR="005C37F5">
        <w:rPr>
          <w:lang w:val="en-US"/>
        </w:rPr>
        <w:t>support</w:t>
      </w:r>
      <w:r w:rsidR="00A4236E">
        <w:rPr>
          <w:lang w:val="en-US"/>
        </w:rPr>
        <w:t xml:space="preserve"> CE </w:t>
      </w:r>
      <w:r w:rsidR="005C37F5">
        <w:rPr>
          <w:lang w:val="en-US"/>
        </w:rPr>
        <w:t xml:space="preserve">modes </w:t>
      </w:r>
      <w:r w:rsidR="009B3641">
        <w:rPr>
          <w:lang w:val="en-US"/>
        </w:rPr>
        <w:t>do not support</w:t>
      </w:r>
      <w:r>
        <w:rPr>
          <w:lang w:val="en-US"/>
        </w:rPr>
        <w:t xml:space="preserve"> </w:t>
      </w:r>
      <w:r w:rsidR="00916F16">
        <w:rPr>
          <w:lang w:val="en-US"/>
        </w:rPr>
        <w:t>connection</w:t>
      </w:r>
      <w:r>
        <w:rPr>
          <w:lang w:val="en-US"/>
        </w:rPr>
        <w:t xml:space="preserve"> to </w:t>
      </w:r>
      <w:r w:rsidR="00A850C0">
        <w:rPr>
          <w:lang w:val="en-US"/>
        </w:rPr>
        <w:t xml:space="preserve">a </w:t>
      </w:r>
      <w:r>
        <w:rPr>
          <w:lang w:val="en-US"/>
        </w:rPr>
        <w:t xml:space="preserve">cell </w:t>
      </w:r>
      <w:r w:rsidR="00A850C0">
        <w:rPr>
          <w:lang w:val="en-US"/>
        </w:rPr>
        <w:t>with</w:t>
      </w:r>
      <w:r w:rsidRPr="00A850C0">
        <w:rPr>
          <w:lang w:val="en-US"/>
        </w:rPr>
        <w:t xml:space="preserve"> stand-alone </w:t>
      </w:r>
      <w:r w:rsidR="00BF4BAD">
        <w:rPr>
          <w:lang w:val="en-US"/>
        </w:rPr>
        <w:t xml:space="preserve">LTE-MTC </w:t>
      </w:r>
      <w:r w:rsidRPr="00A850C0">
        <w:rPr>
          <w:lang w:val="en-US"/>
        </w:rPr>
        <w:t>deployment</w:t>
      </w:r>
      <w:r w:rsidR="005C37F5" w:rsidRPr="00A850C0">
        <w:rPr>
          <w:lang w:val="en-US"/>
        </w:rPr>
        <w:t>.</w:t>
      </w:r>
      <w:bookmarkEnd w:id="2"/>
      <w:r w:rsidR="005C37F5" w:rsidRPr="00A850C0">
        <w:rPr>
          <w:lang w:val="en-US"/>
        </w:rPr>
        <w:t xml:space="preserve"> </w:t>
      </w:r>
      <w:r w:rsidR="00A4236E" w:rsidRPr="00A850C0">
        <w:rPr>
          <w:lang w:val="en-US"/>
        </w:rPr>
        <w:t xml:space="preserve"> </w:t>
      </w:r>
    </w:p>
    <w:p w14:paraId="5B720378" w14:textId="62867418" w:rsidR="00642493" w:rsidRDefault="00423E90" w:rsidP="00642493">
      <w:pPr>
        <w:pStyle w:val="BodyText"/>
        <w:rPr>
          <w:lang w:val="en-US"/>
        </w:rPr>
      </w:pPr>
      <w:r>
        <w:rPr>
          <w:lang w:val="en-US"/>
        </w:rPr>
        <w:t>N</w:t>
      </w:r>
      <w:r w:rsidR="00642493">
        <w:rPr>
          <w:lang w:val="en-US"/>
        </w:rPr>
        <w:t xml:space="preserve">on-BL UEs </w:t>
      </w:r>
      <w:r w:rsidR="008B1B8A">
        <w:rPr>
          <w:lang w:val="en-US"/>
        </w:rPr>
        <w:t>can</w:t>
      </w:r>
      <w:r w:rsidR="00642493">
        <w:rPr>
          <w:lang w:val="en-US"/>
        </w:rPr>
        <w:t xml:space="preserve"> operate in CE </w:t>
      </w:r>
      <w:r w:rsidR="00296AFA">
        <w:rPr>
          <w:lang w:val="en-US"/>
        </w:rPr>
        <w:t xml:space="preserve">when </w:t>
      </w:r>
      <w:r w:rsidR="00642493">
        <w:rPr>
          <w:lang w:val="en-US"/>
        </w:rPr>
        <w:t>the</w:t>
      </w:r>
      <w:r w:rsidR="00296AFA">
        <w:rPr>
          <w:lang w:val="en-US"/>
        </w:rPr>
        <w:t xml:space="preserve"> UE </w:t>
      </w:r>
      <w:r w:rsidR="00642493">
        <w:rPr>
          <w:lang w:val="en-US"/>
        </w:rPr>
        <w:t>support</w:t>
      </w:r>
      <w:r w:rsidR="00296AFA">
        <w:rPr>
          <w:lang w:val="en-US"/>
        </w:rPr>
        <w:t>s</w:t>
      </w:r>
      <w:r w:rsidR="00642493">
        <w:rPr>
          <w:lang w:val="en-US"/>
        </w:rPr>
        <w:t xml:space="preserve"> at least CE Mode A. Such UEs </w:t>
      </w:r>
      <w:r w:rsidR="002148AE">
        <w:rPr>
          <w:lang w:val="en-US"/>
        </w:rPr>
        <w:t xml:space="preserve">should </w:t>
      </w:r>
      <w:r w:rsidR="00642493">
        <w:rPr>
          <w:lang w:val="en-US"/>
        </w:rPr>
        <w:t>be able to receive the transmissions in a stand</w:t>
      </w:r>
      <w:r w:rsidR="00A624B6">
        <w:rPr>
          <w:lang w:val="en-US"/>
        </w:rPr>
        <w:t>-</w:t>
      </w:r>
      <w:r w:rsidR="00642493">
        <w:rPr>
          <w:lang w:val="en-US"/>
        </w:rPr>
        <w:t xml:space="preserve">alone </w:t>
      </w:r>
      <w:r w:rsidR="00DE5DD2">
        <w:rPr>
          <w:lang w:val="en-US"/>
        </w:rPr>
        <w:t xml:space="preserve">LTE-MTC </w:t>
      </w:r>
      <w:r w:rsidR="00642493">
        <w:rPr>
          <w:lang w:val="en-US"/>
        </w:rPr>
        <w:t xml:space="preserve">cell, </w:t>
      </w:r>
      <w:r w:rsidR="002148AE">
        <w:rPr>
          <w:lang w:val="en-US"/>
        </w:rPr>
        <w:t xml:space="preserve">also for pre-Rel-16 UEs </w:t>
      </w:r>
      <w:r w:rsidR="008B1B8A">
        <w:rPr>
          <w:lang w:val="en-US"/>
        </w:rPr>
        <w:t>if</w:t>
      </w:r>
      <w:r w:rsidR="00642493">
        <w:rPr>
          <w:lang w:val="en-US"/>
        </w:rPr>
        <w:t xml:space="preserve"> the transmissions are provided in </w:t>
      </w:r>
      <w:r w:rsidR="002148AE">
        <w:rPr>
          <w:lang w:val="en-US"/>
        </w:rPr>
        <w:t xml:space="preserve">a </w:t>
      </w:r>
      <w:r w:rsidR="00642493">
        <w:rPr>
          <w:lang w:val="en-US"/>
        </w:rPr>
        <w:t>backwards-compatible way.</w:t>
      </w:r>
      <w:r w:rsidR="00472933">
        <w:rPr>
          <w:lang w:val="en-US"/>
        </w:rPr>
        <w:t xml:space="preserve"> I</w:t>
      </w:r>
      <w:r w:rsidR="002D2466">
        <w:rPr>
          <w:lang w:val="en-US"/>
        </w:rPr>
        <w:t>f</w:t>
      </w:r>
      <w:r w:rsidR="00472933">
        <w:rPr>
          <w:lang w:val="en-US"/>
        </w:rPr>
        <w:t xml:space="preserve"> non-BL</w:t>
      </w:r>
      <w:r w:rsidR="00642493">
        <w:rPr>
          <w:lang w:val="en-US"/>
        </w:rPr>
        <w:t xml:space="preserve"> UE</w:t>
      </w:r>
      <w:r w:rsidR="00D0693C">
        <w:rPr>
          <w:lang w:val="en-US"/>
        </w:rPr>
        <w:t xml:space="preserve"> supporting CE</w:t>
      </w:r>
      <w:r w:rsidR="00642493">
        <w:rPr>
          <w:lang w:val="en-US"/>
        </w:rPr>
        <w:t xml:space="preserve"> detects a stand</w:t>
      </w:r>
      <w:r w:rsidR="00A624B6">
        <w:rPr>
          <w:lang w:val="en-US"/>
        </w:rPr>
        <w:t>-</w:t>
      </w:r>
      <w:r w:rsidR="00642493">
        <w:rPr>
          <w:lang w:val="en-US"/>
        </w:rPr>
        <w:t xml:space="preserve">alone cell, </w:t>
      </w:r>
      <w:r w:rsidR="00296AFA">
        <w:rPr>
          <w:lang w:val="en-US"/>
        </w:rPr>
        <w:t xml:space="preserve">it </w:t>
      </w:r>
      <w:r w:rsidR="00D0693C">
        <w:rPr>
          <w:lang w:val="en-US"/>
        </w:rPr>
        <w:t xml:space="preserve">would be able to read MIB, </w:t>
      </w:r>
      <w:r w:rsidR="00296AFA">
        <w:rPr>
          <w:lang w:val="en-US"/>
        </w:rPr>
        <w:t xml:space="preserve">and </w:t>
      </w:r>
      <w:r w:rsidR="00F93E8F">
        <w:rPr>
          <w:lang w:val="en-US"/>
        </w:rPr>
        <w:t>based on SIB1-BR configuration in MIB</w:t>
      </w:r>
      <w:r w:rsidR="003837A4">
        <w:rPr>
          <w:lang w:val="en-US"/>
        </w:rPr>
        <w:t xml:space="preserve"> (i.e. existence of </w:t>
      </w:r>
      <w:r w:rsidR="003837A4" w:rsidRPr="003837A4">
        <w:rPr>
          <w:i/>
        </w:rPr>
        <w:t>schedulingInfoSIB1-BR</w:t>
      </w:r>
      <w:r w:rsidR="003837A4">
        <w:t>)</w:t>
      </w:r>
      <w:r w:rsidR="00F93E8F">
        <w:rPr>
          <w:lang w:val="en-US"/>
        </w:rPr>
        <w:t xml:space="preserve">, </w:t>
      </w:r>
      <w:r w:rsidR="00296AFA">
        <w:rPr>
          <w:lang w:val="en-US"/>
        </w:rPr>
        <w:t xml:space="preserve">it could </w:t>
      </w:r>
      <w:r w:rsidR="00642493">
        <w:rPr>
          <w:lang w:val="en-US"/>
        </w:rPr>
        <w:t>acquire SIB1-BR, even if the S-criterion evaluation would indicate th</w:t>
      </w:r>
      <w:r w:rsidR="002D2466">
        <w:rPr>
          <w:lang w:val="en-US"/>
        </w:rPr>
        <w:t>at th</w:t>
      </w:r>
      <w:r w:rsidR="00642493">
        <w:rPr>
          <w:lang w:val="en-US"/>
        </w:rPr>
        <w:t>e UE is in normal coverage.</w:t>
      </w:r>
      <w:r w:rsidR="00296AFA">
        <w:rPr>
          <w:lang w:val="en-US"/>
        </w:rPr>
        <w:t xml:space="preserve"> </w:t>
      </w:r>
      <w:r w:rsidR="00642493">
        <w:rPr>
          <w:lang w:val="en-US"/>
        </w:rPr>
        <w:t>Thus</w:t>
      </w:r>
      <w:r w:rsidR="008870CB">
        <w:rPr>
          <w:lang w:val="en-US"/>
        </w:rPr>
        <w:t>,</w:t>
      </w:r>
      <w:r w:rsidR="00642493">
        <w:rPr>
          <w:lang w:val="en-US"/>
        </w:rPr>
        <w:t xml:space="preserve"> </w:t>
      </w:r>
      <w:r w:rsidR="00346FC4">
        <w:rPr>
          <w:lang w:val="en-US"/>
        </w:rPr>
        <w:t>non-BL UE supporting CE m</w:t>
      </w:r>
      <w:r w:rsidR="00642493">
        <w:rPr>
          <w:lang w:val="en-US"/>
        </w:rPr>
        <w:t>odes should be able to camp and operate in</w:t>
      </w:r>
      <w:bookmarkStart w:id="3" w:name="_GoBack"/>
      <w:bookmarkEnd w:id="3"/>
      <w:r w:rsidR="00642493">
        <w:rPr>
          <w:lang w:val="en-US"/>
        </w:rPr>
        <w:t xml:space="preserve"> the cell, regardless of if S-criterion evaluation according to TS 36.304 </w:t>
      </w:r>
      <w:r w:rsidR="001E549D">
        <w:rPr>
          <w:lang w:val="en-US"/>
        </w:rPr>
        <w:fldChar w:fldCharType="begin"/>
      </w:r>
      <w:r w:rsidR="001E549D">
        <w:rPr>
          <w:lang w:val="en-US"/>
        </w:rPr>
        <w:instrText xml:space="preserve"> REF _Ref528838251 \n \h </w:instrText>
      </w:r>
      <w:r w:rsidR="001E549D">
        <w:rPr>
          <w:lang w:val="en-US"/>
        </w:rPr>
      </w:r>
      <w:r w:rsidR="001E549D">
        <w:rPr>
          <w:lang w:val="en-US"/>
        </w:rPr>
        <w:fldChar w:fldCharType="separate"/>
      </w:r>
      <w:r w:rsidR="001E549D">
        <w:rPr>
          <w:lang w:val="en-US"/>
        </w:rPr>
        <w:t>[4]</w:t>
      </w:r>
      <w:r w:rsidR="001E549D">
        <w:rPr>
          <w:lang w:val="en-US"/>
        </w:rPr>
        <w:fldChar w:fldCharType="end"/>
      </w:r>
      <w:r w:rsidR="001E549D">
        <w:rPr>
          <w:lang w:val="en-US"/>
        </w:rPr>
        <w:t xml:space="preserve"> </w:t>
      </w:r>
      <w:r w:rsidR="00F06B8E">
        <w:rPr>
          <w:lang w:val="en-US"/>
        </w:rPr>
        <w:t>results in normal or enhanced coverage.</w:t>
      </w:r>
    </w:p>
    <w:p w14:paraId="218D83B5" w14:textId="30CF6B94" w:rsidR="00F06B8E" w:rsidRPr="00642493" w:rsidRDefault="002148AE" w:rsidP="00C305EF">
      <w:pPr>
        <w:pStyle w:val="Observation"/>
        <w:rPr>
          <w:lang w:val="en-US"/>
        </w:rPr>
      </w:pPr>
      <w:bookmarkStart w:id="4" w:name="_Toc528838298"/>
      <w:r>
        <w:rPr>
          <w:lang w:val="en-US"/>
        </w:rPr>
        <w:t xml:space="preserve">Non-BL UE supporting coverage enhancements </w:t>
      </w:r>
      <w:r w:rsidR="00485771">
        <w:rPr>
          <w:lang w:val="en-US"/>
        </w:rPr>
        <w:t>mimics</w:t>
      </w:r>
      <w:r>
        <w:rPr>
          <w:lang w:val="en-US"/>
        </w:rPr>
        <w:t xml:space="preserve"> BL UE</w:t>
      </w:r>
      <w:r w:rsidR="00485771">
        <w:rPr>
          <w:lang w:val="en-US"/>
        </w:rPr>
        <w:t xml:space="preserve"> behavior</w:t>
      </w:r>
      <w:r>
        <w:rPr>
          <w:lang w:val="en-US"/>
        </w:rPr>
        <w:t xml:space="preserve">, thus it can operate in stand-alone </w:t>
      </w:r>
      <w:r w:rsidR="00A53AEA">
        <w:rPr>
          <w:lang w:val="en-US"/>
        </w:rPr>
        <w:t xml:space="preserve">LTE-MTC </w:t>
      </w:r>
      <w:r>
        <w:rPr>
          <w:lang w:val="en-US"/>
        </w:rPr>
        <w:t>deployment</w:t>
      </w:r>
      <w:r w:rsidR="00301E91">
        <w:rPr>
          <w:lang w:val="en-US"/>
        </w:rPr>
        <w:t>s</w:t>
      </w:r>
      <w:r>
        <w:rPr>
          <w:lang w:val="en-US"/>
        </w:rPr>
        <w:t>.</w:t>
      </w:r>
      <w:bookmarkEnd w:id="4"/>
      <w:r>
        <w:rPr>
          <w:lang w:val="en-US"/>
        </w:rPr>
        <w:t xml:space="preserve"> </w:t>
      </w:r>
    </w:p>
    <w:p w14:paraId="389040A0" w14:textId="07E83229" w:rsidR="00082DA8" w:rsidRDefault="00082DA8" w:rsidP="00082DA8">
      <w:pPr>
        <w:pStyle w:val="Heading2"/>
      </w:pPr>
      <w:r w:rsidRPr="0042498B">
        <w:t>2.2</w:t>
      </w:r>
      <w:r w:rsidRPr="0042498B">
        <w:tab/>
      </w:r>
      <w:r>
        <w:t>Supported transmission</w:t>
      </w:r>
      <w:r w:rsidR="003A3F2B">
        <w:t xml:space="preserve">s </w:t>
      </w:r>
      <w:r>
        <w:t>in control region</w:t>
      </w:r>
    </w:p>
    <w:p w14:paraId="01A56EBF" w14:textId="25B515AF" w:rsidR="00082DA8" w:rsidRDefault="00082DA8" w:rsidP="00082DA8">
      <w:pPr>
        <w:pStyle w:val="BodyText"/>
        <w:rPr>
          <w:lang w:val="en-US"/>
        </w:rPr>
      </w:pPr>
      <w:r>
        <w:rPr>
          <w:lang w:val="en-US"/>
        </w:rPr>
        <w:t>RAN1#9</w:t>
      </w:r>
      <w:r w:rsidR="00135885">
        <w:rPr>
          <w:lang w:val="en-US"/>
        </w:rPr>
        <w:t>4bis</w:t>
      </w:r>
      <w:r>
        <w:rPr>
          <w:lang w:val="en-US"/>
        </w:rPr>
        <w:t xml:space="preserve"> agreed to support PDSCH broadcast transmissions in the control region. </w:t>
      </w:r>
    </w:p>
    <w:p w14:paraId="42963DEC" w14:textId="259529E2" w:rsidR="00082DA8" w:rsidRDefault="00CC0D2A" w:rsidP="00082DA8">
      <w:pPr>
        <w:pStyle w:val="Observation"/>
        <w:rPr>
          <w:lang w:val="en-US"/>
        </w:rPr>
      </w:pPr>
      <w:bookmarkStart w:id="5" w:name="_Toc528838299"/>
      <w:r>
        <w:rPr>
          <w:lang w:val="en-US"/>
        </w:rPr>
        <w:t xml:space="preserve">In stand-alone </w:t>
      </w:r>
      <w:r w:rsidR="00EE0E90">
        <w:rPr>
          <w:lang w:val="en-US"/>
        </w:rPr>
        <w:t xml:space="preserve">LTE-MTC </w:t>
      </w:r>
      <w:r>
        <w:rPr>
          <w:lang w:val="en-US"/>
        </w:rPr>
        <w:t>deployments b</w:t>
      </w:r>
      <w:r w:rsidR="00082DA8">
        <w:rPr>
          <w:lang w:val="en-US"/>
        </w:rPr>
        <w:t xml:space="preserve">oth unicast and broadcast DL transmissions </w:t>
      </w:r>
      <w:r w:rsidR="005A38C9">
        <w:rPr>
          <w:lang w:val="en-US"/>
        </w:rPr>
        <w:t xml:space="preserve">for PDSCH </w:t>
      </w:r>
      <w:r w:rsidR="00082DA8">
        <w:rPr>
          <w:lang w:val="en-US"/>
        </w:rPr>
        <w:t>are supported in legacy LTE control channel region.</w:t>
      </w:r>
      <w:bookmarkEnd w:id="5"/>
      <w:r w:rsidR="00082DA8">
        <w:rPr>
          <w:lang w:val="en-US"/>
        </w:rPr>
        <w:t xml:space="preserve"> </w:t>
      </w:r>
    </w:p>
    <w:p w14:paraId="18D26AD8" w14:textId="6EE64173" w:rsidR="00082DA8" w:rsidRDefault="00082DA8" w:rsidP="00082DA8">
      <w:pPr>
        <w:pStyle w:val="BodyText"/>
        <w:rPr>
          <w:lang w:val="en-US"/>
        </w:rPr>
      </w:pPr>
      <w:r>
        <w:rPr>
          <w:lang w:val="en-US"/>
        </w:rPr>
        <w:t xml:space="preserve">Moreover, for PDSCH, RAN1 updated the previous agreements so that the intention is to rate-match PDSCH transmission on all (available) OFDM symbols in backwards-compatible manner. Backwards-compatibility is important to consider in order to enable both legacy and Rel-16 BL UEs and UEs in CE to operate in the same cell. For Rel-16 UEs supporting </w:t>
      </w:r>
      <w:r w:rsidR="0082316B">
        <w:rPr>
          <w:lang w:val="en-US"/>
        </w:rPr>
        <w:t>stand-alone deployment</w:t>
      </w:r>
      <w:r>
        <w:rPr>
          <w:lang w:val="en-US"/>
        </w:rPr>
        <w:t>, additional repetitions can be introduced in the legacy LTE control region for MPDCCH and PDSCH. RAN1 has not agree</w:t>
      </w:r>
      <w:r w:rsidR="005A38C9">
        <w:rPr>
          <w:lang w:val="en-US"/>
        </w:rPr>
        <w:t>d</w:t>
      </w:r>
      <w:r>
        <w:rPr>
          <w:lang w:val="en-US"/>
        </w:rPr>
        <w:t xml:space="preserve"> yet on</w:t>
      </w:r>
      <w:r w:rsidR="008962AD">
        <w:rPr>
          <w:lang w:val="en-US"/>
        </w:rPr>
        <w:t xml:space="preserve"> details of support o</w:t>
      </w:r>
      <w:r>
        <w:rPr>
          <w:lang w:val="en-US"/>
        </w:rPr>
        <w:t>f MPDCCH transmissions in control regio</w:t>
      </w:r>
      <w:r w:rsidR="008962AD">
        <w:rPr>
          <w:lang w:val="en-US"/>
        </w:rPr>
        <w:t>n.</w:t>
      </w:r>
    </w:p>
    <w:p w14:paraId="5B5992D2" w14:textId="6A3C47A3" w:rsidR="00082DA8" w:rsidRDefault="00082DA8" w:rsidP="00082DA8">
      <w:pPr>
        <w:pStyle w:val="Observation"/>
        <w:rPr>
          <w:lang w:val="en-US"/>
        </w:rPr>
      </w:pPr>
      <w:bookmarkStart w:id="6" w:name="_Toc528838300"/>
      <w:r>
        <w:rPr>
          <w:lang w:val="en-US"/>
        </w:rPr>
        <w:t xml:space="preserve">It is still open in RAN1 </w:t>
      </w:r>
      <w:r w:rsidR="00C305EF">
        <w:rPr>
          <w:lang w:val="en-US"/>
        </w:rPr>
        <w:t>to what extent</w:t>
      </w:r>
      <w:r>
        <w:rPr>
          <w:lang w:val="en-US"/>
        </w:rPr>
        <w:t xml:space="preserve"> MPDCCH transmissions in legacy LTE control region are supported.</w:t>
      </w:r>
      <w:bookmarkEnd w:id="6"/>
    </w:p>
    <w:p w14:paraId="16625E87" w14:textId="77777777" w:rsidR="00082DA8" w:rsidRDefault="00082DA8" w:rsidP="00082DA8">
      <w:pPr>
        <w:pStyle w:val="BodyText"/>
        <w:rPr>
          <w:lang w:val="en-US"/>
        </w:rPr>
      </w:pPr>
    </w:p>
    <w:p w14:paraId="0903E4DB" w14:textId="6344D12F" w:rsidR="001A6CFB" w:rsidRDefault="00230D18" w:rsidP="00E80FC8">
      <w:pPr>
        <w:pStyle w:val="Heading2"/>
        <w:ind w:left="0" w:firstLine="0"/>
      </w:pPr>
      <w:r w:rsidRPr="0042498B">
        <w:t>2.</w:t>
      </w:r>
      <w:r w:rsidR="004C5891">
        <w:t>3</w:t>
      </w:r>
      <w:r w:rsidRPr="0042498B">
        <w:tab/>
      </w:r>
      <w:r w:rsidR="00C87AC3">
        <w:t>Configuration aspect</w:t>
      </w:r>
      <w:r w:rsidR="00E80FC8">
        <w:t>s</w:t>
      </w:r>
    </w:p>
    <w:p w14:paraId="4F022EA1" w14:textId="41C4C6D7" w:rsidR="00E80FC8" w:rsidRPr="00E80FC8" w:rsidRDefault="00E80FC8" w:rsidP="00E80FC8">
      <w:pPr>
        <w:pStyle w:val="BodyText"/>
      </w:pPr>
      <w:r>
        <w:t>Per RAN1 agreements, both unicast and broadcast transmissions in the control region would</w:t>
      </w:r>
      <w:r w:rsidR="00613867">
        <w:t xml:space="preserve"> be supported, but</w:t>
      </w:r>
      <w:r>
        <w:t xml:space="preserve"> </w:t>
      </w:r>
      <w:r w:rsidR="00613867">
        <w:t xml:space="preserve">no </w:t>
      </w:r>
      <w:r>
        <w:t>details on which broadcast transmissions would be supported</w:t>
      </w:r>
      <w:r w:rsidR="00613867">
        <w:t xml:space="preserve"> have been agreed</w:t>
      </w:r>
      <w:r>
        <w:t>. Possibilities include SIB1-BR/SI messages, paging, RAR and multicast (i.e. SC-P</w:t>
      </w:r>
      <w:r w:rsidR="00C531E4">
        <w:t>T</w:t>
      </w:r>
      <w:r>
        <w:t>M) related transmissions.</w:t>
      </w:r>
    </w:p>
    <w:p w14:paraId="3A4EEE9D" w14:textId="64B2FDF0" w:rsidR="00E80FC8" w:rsidRPr="00C82911" w:rsidRDefault="00E80FC8" w:rsidP="005D1D04">
      <w:pPr>
        <w:pStyle w:val="BodyText"/>
        <w:rPr>
          <w:lang w:val="en-US"/>
        </w:rPr>
      </w:pPr>
      <w:r w:rsidRPr="00E80FC8">
        <w:rPr>
          <w:lang w:val="en-US"/>
        </w:rPr>
        <w:t xml:space="preserve">The use of LTE control region </w:t>
      </w:r>
      <w:r w:rsidR="005741C6">
        <w:rPr>
          <w:lang w:val="en-US"/>
        </w:rPr>
        <w:t>c</w:t>
      </w:r>
      <w:r w:rsidR="005741C6" w:rsidRPr="00E80FC8">
        <w:rPr>
          <w:lang w:val="en-US"/>
        </w:rPr>
        <w:t xml:space="preserve">ould </w:t>
      </w:r>
      <w:r w:rsidRPr="00E80FC8">
        <w:rPr>
          <w:lang w:val="en-US"/>
        </w:rPr>
        <w:t xml:space="preserve">be configurable. Depending on the deployment (e.g. coexistence with NR) and radio environment it may be beneficial to specify possibility for different configurations on which transmissions are mapped to the </w:t>
      </w:r>
      <w:r w:rsidR="005B2244">
        <w:rPr>
          <w:lang w:val="en-US"/>
        </w:rPr>
        <w:t xml:space="preserve">legacy LTE </w:t>
      </w:r>
      <w:r w:rsidRPr="00E80FC8">
        <w:rPr>
          <w:lang w:val="en-US"/>
        </w:rPr>
        <w:t>control region, and how the mappings are done.</w:t>
      </w:r>
      <w:r w:rsidR="008962AD">
        <w:rPr>
          <w:lang w:val="en-US"/>
        </w:rPr>
        <w:t xml:space="preserve"> Such details</w:t>
      </w:r>
      <w:r w:rsidR="00E52E4A">
        <w:rPr>
          <w:lang w:val="en-US"/>
        </w:rPr>
        <w:t xml:space="preserve"> on configuration</w:t>
      </w:r>
      <w:r w:rsidR="008962AD">
        <w:rPr>
          <w:lang w:val="en-US"/>
        </w:rPr>
        <w:t xml:space="preserve"> are pending further RAN1 agreements.</w:t>
      </w:r>
    </w:p>
    <w:p w14:paraId="7F0ECD21" w14:textId="7778CEF5" w:rsidR="00E80FC8" w:rsidRDefault="0059509C" w:rsidP="00E80FC8">
      <w:pPr>
        <w:pStyle w:val="BodyText"/>
        <w:rPr>
          <w:lang w:val="en-US"/>
        </w:rPr>
      </w:pPr>
      <w:r>
        <w:rPr>
          <w:lang w:val="en-US"/>
        </w:rPr>
        <w:t>In RAN2#103bis the location of the</w:t>
      </w:r>
      <w:r w:rsidR="00C305EF">
        <w:rPr>
          <w:lang w:val="en-US"/>
        </w:rPr>
        <w:t xml:space="preserve"> possible</w:t>
      </w:r>
      <w:r>
        <w:rPr>
          <w:lang w:val="en-US"/>
        </w:rPr>
        <w:t xml:space="preserve"> configuration was discussed. We brought up in </w:t>
      </w:r>
      <w:r w:rsidR="008C3A56">
        <w:rPr>
          <w:lang w:val="en-US"/>
        </w:rPr>
        <w:fldChar w:fldCharType="begin"/>
      </w:r>
      <w:r w:rsidR="008C3A56">
        <w:rPr>
          <w:lang w:val="en-US"/>
        </w:rPr>
        <w:instrText xml:space="preserve"> REF _Ref528675245 \n \h </w:instrText>
      </w:r>
      <w:r w:rsidR="008C3A56">
        <w:rPr>
          <w:lang w:val="en-US"/>
        </w:rPr>
      </w:r>
      <w:r w:rsidR="008C3A56">
        <w:rPr>
          <w:lang w:val="en-US"/>
        </w:rPr>
        <w:fldChar w:fldCharType="separate"/>
      </w:r>
      <w:r w:rsidR="002D2466">
        <w:rPr>
          <w:lang w:val="en-US"/>
        </w:rPr>
        <w:t>[5]</w:t>
      </w:r>
      <w:r w:rsidR="008C3A56">
        <w:rPr>
          <w:lang w:val="en-US"/>
        </w:rPr>
        <w:fldChar w:fldCharType="end"/>
      </w:r>
      <w:r w:rsidR="008C3A56">
        <w:rPr>
          <w:lang w:val="en-US"/>
        </w:rPr>
        <w:t xml:space="preserve"> </w:t>
      </w:r>
      <w:r w:rsidR="00843E67">
        <w:rPr>
          <w:lang w:val="en-US"/>
        </w:rPr>
        <w:t xml:space="preserve">the </w:t>
      </w:r>
      <w:r w:rsidR="008C3A56">
        <w:rPr>
          <w:lang w:val="en-US"/>
        </w:rPr>
        <w:t xml:space="preserve">possibility to use a MIB bit for enabling configuration of the stand-alone deployment </w:t>
      </w:r>
      <w:r w:rsidR="008067BC">
        <w:rPr>
          <w:lang w:val="en-US"/>
        </w:rPr>
        <w:t>for</w:t>
      </w:r>
      <w:r w:rsidR="008C3A56">
        <w:rPr>
          <w:lang w:val="en-US"/>
        </w:rPr>
        <w:t xml:space="preserve"> the UE to understand the deployment</w:t>
      </w:r>
      <w:r w:rsidR="008067BC">
        <w:rPr>
          <w:lang w:val="en-US"/>
        </w:rPr>
        <w:t>, and possible availability of transmissions in the legacy LTE control region,</w:t>
      </w:r>
      <w:r w:rsidR="008C3A56">
        <w:rPr>
          <w:lang w:val="en-US"/>
        </w:rPr>
        <w:t xml:space="preserve"> as soon as possible </w:t>
      </w:r>
      <w:r w:rsidR="008067BC">
        <w:rPr>
          <w:lang w:val="en-US"/>
        </w:rPr>
        <w:t>during</w:t>
      </w:r>
      <w:r w:rsidR="008C3A56">
        <w:rPr>
          <w:lang w:val="en-US"/>
        </w:rPr>
        <w:t xml:space="preserve"> the initial access procedure. However, it was discussed </w:t>
      </w:r>
      <w:r w:rsidR="008067BC">
        <w:rPr>
          <w:lang w:val="en-US"/>
        </w:rPr>
        <w:t xml:space="preserve">that even if we provide the configuration e.g. in SIB1-BR, UEs staying in the same cell could reuse the configuration during later idle mode and later access attempts as well. Thus, the gain for providing the configuration in MIB vs providing it in SIB1-BR is probably not significant, and considering also the limited </w:t>
      </w:r>
      <w:r w:rsidR="00C305EF">
        <w:rPr>
          <w:lang w:val="en-US"/>
        </w:rPr>
        <w:t>number</w:t>
      </w:r>
      <w:r w:rsidR="008067BC">
        <w:rPr>
          <w:lang w:val="en-US"/>
        </w:rPr>
        <w:t xml:space="preserve"> of bits remaining in MIB it is feasible to provide the configuration in SIB1-BR.</w:t>
      </w:r>
    </w:p>
    <w:p w14:paraId="5DB660FE" w14:textId="6C744AD1" w:rsidR="0059509C" w:rsidRPr="008067BC" w:rsidRDefault="008067BC" w:rsidP="00E80FC8">
      <w:pPr>
        <w:pStyle w:val="Proposal"/>
        <w:rPr>
          <w:lang w:val="en-US"/>
        </w:rPr>
      </w:pPr>
      <w:bookmarkStart w:id="7" w:name="_Toc528838848"/>
      <w:r w:rsidRPr="008067BC">
        <w:rPr>
          <w:lang w:val="en-US"/>
        </w:rPr>
        <w:t xml:space="preserve">Configuration for stand-alone </w:t>
      </w:r>
      <w:r w:rsidR="00340D5F">
        <w:rPr>
          <w:lang w:val="en-US"/>
        </w:rPr>
        <w:t xml:space="preserve">LTE-MTC </w:t>
      </w:r>
      <w:r w:rsidRPr="008067BC">
        <w:rPr>
          <w:lang w:val="en-US"/>
        </w:rPr>
        <w:t>deployment is provided in SIB1-BR as</w:t>
      </w:r>
      <w:r w:rsidR="004162A6">
        <w:rPr>
          <w:lang w:val="en-US"/>
        </w:rPr>
        <w:t xml:space="preserve"> a</w:t>
      </w:r>
      <w:r w:rsidRPr="008067BC">
        <w:rPr>
          <w:lang w:val="en-US"/>
        </w:rPr>
        <w:t xml:space="preserve"> working assumption.</w:t>
      </w:r>
      <w:bookmarkEnd w:id="7"/>
    </w:p>
    <w:p w14:paraId="661DF808" w14:textId="77777777" w:rsidR="0059509C" w:rsidRPr="00E80FC8" w:rsidRDefault="0059509C" w:rsidP="00E80FC8">
      <w:pPr>
        <w:pStyle w:val="BodyText"/>
        <w:rPr>
          <w:lang w:val="en-US"/>
        </w:rPr>
      </w:pPr>
    </w:p>
    <w:p w14:paraId="51079D22" w14:textId="790FED45" w:rsidR="0042498B" w:rsidRPr="0042498B" w:rsidRDefault="0042498B" w:rsidP="0042498B">
      <w:pPr>
        <w:sectPr w:rsidR="0042498B" w:rsidRPr="0042498B" w:rsidSect="00817C8F">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2C23FBDE" w14:textId="77777777" w:rsidR="00C01F33" w:rsidRPr="00CE0424" w:rsidRDefault="00C01F33" w:rsidP="00CE0424">
      <w:pPr>
        <w:pStyle w:val="Heading1"/>
      </w:pPr>
      <w:r w:rsidRPr="00CE0424">
        <w:t>Conclusion</w:t>
      </w:r>
    </w:p>
    <w:p w14:paraId="7B82374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8" w:name="_Hlk525677496"/>
    <w:bookmarkStart w:id="9" w:name="_Hlk528675829"/>
    <w:p w14:paraId="02C60E19" w14:textId="64E274B8" w:rsidR="00260914"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28838297" w:history="1">
        <w:r w:rsidR="00260914" w:rsidRPr="00A32BE6">
          <w:rPr>
            <w:rStyle w:val="Hyperlink"/>
            <w:noProof/>
            <w:lang w:val="en-US"/>
          </w:rPr>
          <w:t>Observation 1</w:t>
        </w:r>
        <w:r w:rsidR="00260914">
          <w:rPr>
            <w:rFonts w:asciiTheme="minorHAnsi" w:eastAsiaTheme="minorEastAsia" w:hAnsiTheme="minorHAnsi" w:cstheme="minorBidi"/>
            <w:b w:val="0"/>
            <w:noProof/>
            <w:sz w:val="22"/>
            <w:szCs w:val="22"/>
            <w:lang w:val="fi-FI" w:eastAsia="fi-FI"/>
          </w:rPr>
          <w:tab/>
        </w:r>
        <w:r w:rsidR="00260914" w:rsidRPr="00A32BE6">
          <w:rPr>
            <w:rStyle w:val="Hyperlink"/>
            <w:noProof/>
            <w:lang w:val="en-US"/>
          </w:rPr>
          <w:t>Configuration for LTE control region in stand-alone LTE-M cell can range from one to four OFDM symbols. For a pure stand-alone deployment, this should be set as low as possible, i.e., one or two symbols, but it may also be higher, e.g. due to coexistence reasons.</w:t>
        </w:r>
      </w:hyperlink>
    </w:p>
    <w:p w14:paraId="03178AE2" w14:textId="6FBE9CA6" w:rsidR="00260914" w:rsidRDefault="008870C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8838298" w:history="1">
        <w:r w:rsidR="00260914" w:rsidRPr="00A32BE6">
          <w:rPr>
            <w:rStyle w:val="Hyperlink"/>
            <w:noProof/>
            <w:lang w:val="en-US"/>
          </w:rPr>
          <w:t>Observation 2</w:t>
        </w:r>
        <w:r w:rsidR="00260914">
          <w:rPr>
            <w:rFonts w:asciiTheme="minorHAnsi" w:eastAsiaTheme="minorEastAsia" w:hAnsiTheme="minorHAnsi" w:cstheme="minorBidi"/>
            <w:b w:val="0"/>
            <w:noProof/>
            <w:sz w:val="22"/>
            <w:szCs w:val="22"/>
            <w:lang w:val="fi-FI" w:eastAsia="fi-FI"/>
          </w:rPr>
          <w:tab/>
        </w:r>
        <w:r w:rsidR="00260914" w:rsidRPr="00A32BE6">
          <w:rPr>
            <w:rStyle w:val="Hyperlink"/>
            <w:noProof/>
            <w:lang w:val="en-US"/>
          </w:rPr>
          <w:t>Non-BL UE supporting coverage enhancements is able to behave like a BL UE, thus it can operate in stand-alone deployments.</w:t>
        </w:r>
      </w:hyperlink>
    </w:p>
    <w:p w14:paraId="3937C39D" w14:textId="70F1693B" w:rsidR="00260914" w:rsidRDefault="008870C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8838299" w:history="1">
        <w:r w:rsidR="00260914" w:rsidRPr="00A32BE6">
          <w:rPr>
            <w:rStyle w:val="Hyperlink"/>
            <w:noProof/>
            <w:lang w:val="en-US"/>
          </w:rPr>
          <w:t>Observation 3</w:t>
        </w:r>
        <w:r w:rsidR="00260914">
          <w:rPr>
            <w:rFonts w:asciiTheme="minorHAnsi" w:eastAsiaTheme="minorEastAsia" w:hAnsiTheme="minorHAnsi" w:cstheme="minorBidi"/>
            <w:b w:val="0"/>
            <w:noProof/>
            <w:sz w:val="22"/>
            <w:szCs w:val="22"/>
            <w:lang w:val="fi-FI" w:eastAsia="fi-FI"/>
          </w:rPr>
          <w:tab/>
        </w:r>
        <w:r w:rsidR="00260914" w:rsidRPr="00A32BE6">
          <w:rPr>
            <w:rStyle w:val="Hyperlink"/>
            <w:noProof/>
            <w:lang w:val="en-US"/>
          </w:rPr>
          <w:t>In stand-alone deployments both unicast and broadcast DL transmissions for PDSCH are supported in legacy LTE control channel region.</w:t>
        </w:r>
      </w:hyperlink>
    </w:p>
    <w:p w14:paraId="2B5841C3" w14:textId="6B883391" w:rsidR="00260914" w:rsidRDefault="008870C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8838300" w:history="1">
        <w:r w:rsidR="00260914" w:rsidRPr="00A32BE6">
          <w:rPr>
            <w:rStyle w:val="Hyperlink"/>
            <w:noProof/>
            <w:lang w:val="en-US"/>
          </w:rPr>
          <w:t>Observation 4</w:t>
        </w:r>
        <w:r w:rsidR="00260914">
          <w:rPr>
            <w:rFonts w:asciiTheme="minorHAnsi" w:eastAsiaTheme="minorEastAsia" w:hAnsiTheme="minorHAnsi" w:cstheme="minorBidi"/>
            <w:b w:val="0"/>
            <w:noProof/>
            <w:sz w:val="22"/>
            <w:szCs w:val="22"/>
            <w:lang w:val="fi-FI" w:eastAsia="fi-FI"/>
          </w:rPr>
          <w:tab/>
        </w:r>
        <w:r w:rsidR="00260914" w:rsidRPr="00A32BE6">
          <w:rPr>
            <w:rStyle w:val="Hyperlink"/>
            <w:noProof/>
            <w:lang w:val="en-US"/>
          </w:rPr>
          <w:t>It is still open in RAN1 if and how MPDCCH transmissions in legacy LTE control region are supported.</w:t>
        </w:r>
      </w:hyperlink>
    </w:p>
    <w:p w14:paraId="76126AC3" w14:textId="361FF350" w:rsidR="006E1C82" w:rsidRDefault="006F6582" w:rsidP="008E065E">
      <w:pPr>
        <w:pStyle w:val="BodyText"/>
        <w:rPr>
          <w:b/>
          <w:bCs/>
        </w:rPr>
      </w:pPr>
      <w:r>
        <w:rPr>
          <w:b/>
          <w:bCs/>
        </w:rPr>
        <w:fldChar w:fldCharType="end"/>
      </w:r>
      <w:bookmarkEnd w:id="8"/>
    </w:p>
    <w:p w14:paraId="3B96AB4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0" w:name="_Hlk525677502"/>
    <w:p w14:paraId="3C0E5F2D" w14:textId="0DE0B2AF" w:rsidR="00A850C0"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38846" w:history="1">
        <w:r w:rsidR="00A850C0" w:rsidRPr="00031342">
          <w:rPr>
            <w:rStyle w:val="Hyperlink"/>
            <w:noProof/>
            <w:lang w:val="en-US"/>
          </w:rPr>
          <w:t>Proposal 1</w:t>
        </w:r>
        <w:r w:rsidR="00A850C0">
          <w:rPr>
            <w:rFonts w:asciiTheme="minorHAnsi" w:eastAsiaTheme="minorEastAsia" w:hAnsiTheme="minorHAnsi" w:cstheme="minorBidi"/>
            <w:b w:val="0"/>
            <w:noProof/>
            <w:sz w:val="22"/>
            <w:szCs w:val="22"/>
            <w:lang w:val="fi-FI" w:eastAsia="fi-FI"/>
          </w:rPr>
          <w:tab/>
        </w:r>
        <w:r w:rsidR="00A850C0" w:rsidRPr="00031342">
          <w:rPr>
            <w:rStyle w:val="Hyperlink"/>
            <w:noProof/>
            <w:lang w:val="en-US"/>
          </w:rPr>
          <w:t>Non-BL UEs or UEs which do not support CE modes are not allowed to connect to a cell with stand-alone deployment.</w:t>
        </w:r>
      </w:hyperlink>
    </w:p>
    <w:p w14:paraId="0E661233" w14:textId="593EBC7A" w:rsidR="00A850C0" w:rsidRDefault="008870C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8838848" w:history="1">
        <w:r w:rsidR="00A850C0" w:rsidRPr="00031342">
          <w:rPr>
            <w:rStyle w:val="Hyperlink"/>
            <w:noProof/>
            <w:lang w:val="en-US"/>
          </w:rPr>
          <w:t>Proposal 2</w:t>
        </w:r>
        <w:r w:rsidR="00A850C0">
          <w:rPr>
            <w:rFonts w:asciiTheme="minorHAnsi" w:eastAsiaTheme="minorEastAsia" w:hAnsiTheme="minorHAnsi" w:cstheme="minorBidi"/>
            <w:b w:val="0"/>
            <w:noProof/>
            <w:sz w:val="22"/>
            <w:szCs w:val="22"/>
            <w:lang w:val="fi-FI" w:eastAsia="fi-FI"/>
          </w:rPr>
          <w:tab/>
        </w:r>
        <w:r w:rsidR="00A850C0" w:rsidRPr="00031342">
          <w:rPr>
            <w:rStyle w:val="Hyperlink"/>
            <w:noProof/>
            <w:lang w:val="en-US"/>
          </w:rPr>
          <w:t>Configuration for stand-alone deployment is provided in SIB1-BR as a working assumption.</w:t>
        </w:r>
      </w:hyperlink>
    </w:p>
    <w:p w14:paraId="35B98A58" w14:textId="76587F08" w:rsidR="006E1C82" w:rsidRPr="00CE0424" w:rsidRDefault="006E1C82" w:rsidP="006E1C82">
      <w:pPr>
        <w:pStyle w:val="BodyText"/>
        <w:rPr>
          <w:b/>
          <w:bCs/>
        </w:rPr>
      </w:pPr>
      <w:r>
        <w:rPr>
          <w:b/>
          <w:bCs/>
          <w:lang w:val="en-US"/>
        </w:rPr>
        <w:fldChar w:fldCharType="end"/>
      </w:r>
      <w:bookmarkEnd w:id="10"/>
      <w:r w:rsidRPr="00CE0424">
        <w:rPr>
          <w:b/>
          <w:bCs/>
        </w:rPr>
        <w:t xml:space="preserve"> </w:t>
      </w:r>
    </w:p>
    <w:p w14:paraId="2E9C439D" w14:textId="77777777" w:rsidR="00F507D1" w:rsidRPr="00CE0424" w:rsidRDefault="00F507D1" w:rsidP="00CE0424">
      <w:pPr>
        <w:pStyle w:val="Heading1"/>
      </w:pPr>
      <w:bookmarkStart w:id="11" w:name="_In-sequence_SDU_delivery"/>
      <w:bookmarkEnd w:id="9"/>
      <w:bookmarkEnd w:id="11"/>
      <w:r w:rsidRPr="00CE0424">
        <w:t>References</w:t>
      </w:r>
    </w:p>
    <w:bookmarkStart w:id="12" w:name="_Ref521234735"/>
    <w:bookmarkStart w:id="13" w:name="_Ref174151459"/>
    <w:bookmarkStart w:id="14" w:name="_Ref189809556"/>
    <w:p w14:paraId="557C6F3D" w14:textId="44C4A4EF" w:rsidR="00CF39EE" w:rsidRPr="00467EB1" w:rsidRDefault="003404B5" w:rsidP="003404B5">
      <w:pPr>
        <w:pStyle w:val="Reference"/>
        <w:rPr>
          <w:lang w:val="en-US"/>
        </w:rPr>
      </w:pPr>
      <w:r>
        <w:fldChar w:fldCharType="begin"/>
      </w:r>
      <w:r>
        <w:instrText xml:space="preserve"> HYPERLINK "http://www.3gpp.org/ftp/tsg_ran/TSG_RAN/TSGR_81/Docs/RP-181878.zip" </w:instrText>
      </w:r>
      <w:r>
        <w:fldChar w:fldCharType="separate"/>
      </w:r>
      <w:r w:rsidRPr="003404B5">
        <w:rPr>
          <w:rStyle w:val="Hyperlink"/>
        </w:rPr>
        <w:t>RP-181878</w:t>
      </w:r>
      <w:r>
        <w:fldChar w:fldCharType="end"/>
      </w:r>
      <w:r w:rsidRPr="003404B5">
        <w:t>, “Revised WID: Additional MTC enhancements for LTE”</w:t>
      </w:r>
      <w:bookmarkEnd w:id="12"/>
    </w:p>
    <w:p w14:paraId="46F8317A" w14:textId="0A77EF14" w:rsidR="00467EB1" w:rsidRPr="005C55AF" w:rsidRDefault="00467EB1" w:rsidP="003404B5">
      <w:pPr>
        <w:pStyle w:val="Reference"/>
        <w:rPr>
          <w:lang w:val="en-US"/>
        </w:rPr>
      </w:pPr>
      <w:bookmarkStart w:id="15" w:name="_Ref528336003"/>
      <w:r>
        <w:t>TS 36.331, v15.3.0</w:t>
      </w:r>
      <w:bookmarkEnd w:id="15"/>
    </w:p>
    <w:p w14:paraId="361B764F" w14:textId="6F7A5540" w:rsidR="005C55AF" w:rsidRPr="0043523B" w:rsidRDefault="005C55AF" w:rsidP="003404B5">
      <w:pPr>
        <w:pStyle w:val="Reference"/>
        <w:rPr>
          <w:lang w:val="en-US"/>
        </w:rPr>
      </w:pPr>
      <w:bookmarkStart w:id="16" w:name="_Ref528675000"/>
      <w:r>
        <w:t>TS 36.213, v15.2.0</w:t>
      </w:r>
      <w:bookmarkEnd w:id="16"/>
    </w:p>
    <w:p w14:paraId="43256532" w14:textId="173DF8A0" w:rsidR="0043523B" w:rsidRPr="0059509C" w:rsidRDefault="0043523B" w:rsidP="003404B5">
      <w:pPr>
        <w:pStyle w:val="Reference"/>
        <w:rPr>
          <w:lang w:val="en-US"/>
        </w:rPr>
      </w:pPr>
      <w:bookmarkStart w:id="17" w:name="_Ref528675271"/>
      <w:bookmarkStart w:id="18" w:name="_Ref528838251"/>
      <w:r>
        <w:t xml:space="preserve">TS 36.304, </w:t>
      </w:r>
      <w:r w:rsidRPr="00D26D07">
        <w:t>v15.</w:t>
      </w:r>
      <w:r w:rsidR="00D26D07" w:rsidRPr="00D26D07">
        <w:t>1</w:t>
      </w:r>
      <w:r w:rsidRPr="00D26D07">
        <w:t>.</w:t>
      </w:r>
      <w:bookmarkEnd w:id="17"/>
      <w:r w:rsidR="00D26D07" w:rsidRPr="00D26D07">
        <w:t>0</w:t>
      </w:r>
      <w:bookmarkEnd w:id="13"/>
      <w:bookmarkEnd w:id="14"/>
      <w:bookmarkEnd w:id="18"/>
    </w:p>
    <w:sectPr w:rsidR="0043523B" w:rsidRPr="0059509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78923" w14:textId="77777777" w:rsidR="00F77F64" w:rsidRDefault="00F77F64">
      <w:r>
        <w:separator/>
      </w:r>
    </w:p>
  </w:endnote>
  <w:endnote w:type="continuationSeparator" w:id="0">
    <w:p w14:paraId="071B92E3" w14:textId="77777777" w:rsidR="00F77F64" w:rsidRDefault="00F77F64">
      <w:r>
        <w:continuationSeparator/>
      </w:r>
    </w:p>
  </w:endnote>
  <w:endnote w:type="continuationNotice" w:id="1">
    <w:p w14:paraId="49F672E0" w14:textId="77777777" w:rsidR="00F77F64" w:rsidRDefault="00F77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00000000"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38A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FC6DB" w14:textId="77777777" w:rsidR="00F77F64" w:rsidRDefault="00F77F64">
      <w:r>
        <w:separator/>
      </w:r>
    </w:p>
  </w:footnote>
  <w:footnote w:type="continuationSeparator" w:id="0">
    <w:p w14:paraId="74B42E49" w14:textId="77777777" w:rsidR="00F77F64" w:rsidRDefault="00F77F64">
      <w:r>
        <w:continuationSeparator/>
      </w:r>
    </w:p>
  </w:footnote>
  <w:footnote w:type="continuationNotice" w:id="1">
    <w:p w14:paraId="77CC7144" w14:textId="77777777" w:rsidR="00F77F64" w:rsidRDefault="00F77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B62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C809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7A6D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B1545"/>
    <w:multiLevelType w:val="hybridMultilevel"/>
    <w:tmpl w:val="E842D032"/>
    <w:lvl w:ilvl="0" w:tplc="72FE0A34">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30013"/>
    <w:multiLevelType w:val="hybridMultilevel"/>
    <w:tmpl w:val="E0861A2C"/>
    <w:lvl w:ilvl="0" w:tplc="AA8675F6">
      <w:start w:val="20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90326"/>
    <w:multiLevelType w:val="hybridMultilevel"/>
    <w:tmpl w:val="7682EE68"/>
    <w:lvl w:ilvl="0" w:tplc="A2DA2090">
      <w:start w:val="2"/>
      <w:numFmt w:val="bullet"/>
      <w:lvlText w:val="-"/>
      <w:lvlJc w:val="left"/>
      <w:pPr>
        <w:ind w:left="1080" w:hanging="360"/>
      </w:pPr>
      <w:rPr>
        <w:rFonts w:ascii="Times" w:eastAsia="Calibri" w:hAnsi="Times" w:cs="Times"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5" w15:restartNumberingAfterBreak="0">
    <w:nsid w:val="6C942DE5"/>
    <w:multiLevelType w:val="hybridMultilevel"/>
    <w:tmpl w:val="6FFA43BE"/>
    <w:lvl w:ilvl="0" w:tplc="16CACD02">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9"/>
  </w:num>
  <w:num w:numId="19">
    <w:abstractNumId w:val="5"/>
  </w:num>
  <w:num w:numId="20">
    <w:abstractNumId w:val="28"/>
  </w:num>
  <w:num w:numId="21">
    <w:abstractNumId w:val="13"/>
  </w:num>
  <w:num w:numId="22">
    <w:abstractNumId w:val="26"/>
  </w:num>
  <w:num w:numId="23">
    <w:abstractNumId w:val="6"/>
  </w:num>
  <w:num w:numId="24">
    <w:abstractNumId w:val="3"/>
  </w:num>
  <w:num w:numId="25">
    <w:abstractNumId w:val="24"/>
  </w:num>
  <w:num w:numId="26">
    <w:abstractNumId w:val="8"/>
  </w:num>
  <w:num w:numId="27">
    <w:abstractNumId w:val="25"/>
  </w:num>
  <w:num w:numId="28">
    <w:abstractNumId w:val="27"/>
  </w:num>
  <w:num w:numId="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201"/>
    <w:rsid w:val="000006E1"/>
    <w:rsid w:val="00001CD2"/>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EA7"/>
    <w:rsid w:val="00077E5F"/>
    <w:rsid w:val="0008036A"/>
    <w:rsid w:val="00081AE6"/>
    <w:rsid w:val="00082DA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D7"/>
    <w:rsid w:val="000C165A"/>
    <w:rsid w:val="000C21E6"/>
    <w:rsid w:val="000C2E19"/>
    <w:rsid w:val="000D0D07"/>
    <w:rsid w:val="000D4797"/>
    <w:rsid w:val="000D7C65"/>
    <w:rsid w:val="000E0527"/>
    <w:rsid w:val="000E1E92"/>
    <w:rsid w:val="000E397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00F"/>
    <w:rsid w:val="001344C0"/>
    <w:rsid w:val="001346FA"/>
    <w:rsid w:val="00135252"/>
    <w:rsid w:val="00135885"/>
    <w:rsid w:val="00137AB5"/>
    <w:rsid w:val="00137F0B"/>
    <w:rsid w:val="00140362"/>
    <w:rsid w:val="00151E23"/>
    <w:rsid w:val="001526E0"/>
    <w:rsid w:val="001551B5"/>
    <w:rsid w:val="001572CA"/>
    <w:rsid w:val="00160312"/>
    <w:rsid w:val="001659C1"/>
    <w:rsid w:val="00173A8E"/>
    <w:rsid w:val="0017502C"/>
    <w:rsid w:val="0018143F"/>
    <w:rsid w:val="00181733"/>
    <w:rsid w:val="00181756"/>
    <w:rsid w:val="00181FF8"/>
    <w:rsid w:val="001904A7"/>
    <w:rsid w:val="00190AC1"/>
    <w:rsid w:val="001915F4"/>
    <w:rsid w:val="0019341A"/>
    <w:rsid w:val="00194DE8"/>
    <w:rsid w:val="0019621F"/>
    <w:rsid w:val="00197DF9"/>
    <w:rsid w:val="001A1987"/>
    <w:rsid w:val="001A2564"/>
    <w:rsid w:val="001A6173"/>
    <w:rsid w:val="001A6CBA"/>
    <w:rsid w:val="001A6CFB"/>
    <w:rsid w:val="001B0D97"/>
    <w:rsid w:val="001B5A5D"/>
    <w:rsid w:val="001C1CE5"/>
    <w:rsid w:val="001C3D2A"/>
    <w:rsid w:val="001C5CF9"/>
    <w:rsid w:val="001D51BA"/>
    <w:rsid w:val="001D53E7"/>
    <w:rsid w:val="001D5B20"/>
    <w:rsid w:val="001D6342"/>
    <w:rsid w:val="001D6880"/>
    <w:rsid w:val="001D6D53"/>
    <w:rsid w:val="001D7972"/>
    <w:rsid w:val="001D7D06"/>
    <w:rsid w:val="001E3AD9"/>
    <w:rsid w:val="001E4A94"/>
    <w:rsid w:val="001E549D"/>
    <w:rsid w:val="001E58E2"/>
    <w:rsid w:val="001E7AED"/>
    <w:rsid w:val="001F22C7"/>
    <w:rsid w:val="001F3916"/>
    <w:rsid w:val="001F54C5"/>
    <w:rsid w:val="001F662C"/>
    <w:rsid w:val="001F7074"/>
    <w:rsid w:val="00200490"/>
    <w:rsid w:val="00201F3A"/>
    <w:rsid w:val="002034F1"/>
    <w:rsid w:val="00203F96"/>
    <w:rsid w:val="002069B2"/>
    <w:rsid w:val="00207FA3"/>
    <w:rsid w:val="002148AE"/>
    <w:rsid w:val="00214DA8"/>
    <w:rsid w:val="00215423"/>
    <w:rsid w:val="002158FA"/>
    <w:rsid w:val="00220600"/>
    <w:rsid w:val="002224DB"/>
    <w:rsid w:val="00223FCB"/>
    <w:rsid w:val="002252C3"/>
    <w:rsid w:val="00225C54"/>
    <w:rsid w:val="00230765"/>
    <w:rsid w:val="00230D18"/>
    <w:rsid w:val="002319E4"/>
    <w:rsid w:val="00235632"/>
    <w:rsid w:val="0023574A"/>
    <w:rsid w:val="00235872"/>
    <w:rsid w:val="00241559"/>
    <w:rsid w:val="002435B3"/>
    <w:rsid w:val="002458EB"/>
    <w:rsid w:val="002500C8"/>
    <w:rsid w:val="00257543"/>
    <w:rsid w:val="00260914"/>
    <w:rsid w:val="002617E7"/>
    <w:rsid w:val="00264228"/>
    <w:rsid w:val="00264334"/>
    <w:rsid w:val="0026473E"/>
    <w:rsid w:val="00265A66"/>
    <w:rsid w:val="00266214"/>
    <w:rsid w:val="00267C83"/>
    <w:rsid w:val="0027144F"/>
    <w:rsid w:val="00271813"/>
    <w:rsid w:val="00271F3A"/>
    <w:rsid w:val="00273278"/>
    <w:rsid w:val="002737F4"/>
    <w:rsid w:val="00276B76"/>
    <w:rsid w:val="002805F5"/>
    <w:rsid w:val="00280751"/>
    <w:rsid w:val="0028280A"/>
    <w:rsid w:val="00286ACD"/>
    <w:rsid w:val="00287838"/>
    <w:rsid w:val="002907B5"/>
    <w:rsid w:val="00290981"/>
    <w:rsid w:val="00290E54"/>
    <w:rsid w:val="00292AF7"/>
    <w:rsid w:val="00292EB7"/>
    <w:rsid w:val="00293238"/>
    <w:rsid w:val="00296227"/>
    <w:rsid w:val="00296AFA"/>
    <w:rsid w:val="00296F44"/>
    <w:rsid w:val="0029777D"/>
    <w:rsid w:val="002A055E"/>
    <w:rsid w:val="002A0647"/>
    <w:rsid w:val="002A0B8C"/>
    <w:rsid w:val="002A1D4E"/>
    <w:rsid w:val="002A2869"/>
    <w:rsid w:val="002A7DA6"/>
    <w:rsid w:val="002B24D6"/>
    <w:rsid w:val="002B7F00"/>
    <w:rsid w:val="002C41E6"/>
    <w:rsid w:val="002D071A"/>
    <w:rsid w:val="002D2466"/>
    <w:rsid w:val="002D34B2"/>
    <w:rsid w:val="002D48B0"/>
    <w:rsid w:val="002D55D0"/>
    <w:rsid w:val="002D5B37"/>
    <w:rsid w:val="002D7637"/>
    <w:rsid w:val="002E17F2"/>
    <w:rsid w:val="002E2B0B"/>
    <w:rsid w:val="002E7CAE"/>
    <w:rsid w:val="002F2771"/>
    <w:rsid w:val="002F37A9"/>
    <w:rsid w:val="002F697A"/>
    <w:rsid w:val="00301710"/>
    <w:rsid w:val="00301CE6"/>
    <w:rsid w:val="00301E91"/>
    <w:rsid w:val="0030256B"/>
    <w:rsid w:val="0030501F"/>
    <w:rsid w:val="00307BA1"/>
    <w:rsid w:val="00311702"/>
    <w:rsid w:val="00311E82"/>
    <w:rsid w:val="00313FD6"/>
    <w:rsid w:val="003143BD"/>
    <w:rsid w:val="00315363"/>
    <w:rsid w:val="003203ED"/>
    <w:rsid w:val="00320EA4"/>
    <w:rsid w:val="00322C9F"/>
    <w:rsid w:val="00324D23"/>
    <w:rsid w:val="00331751"/>
    <w:rsid w:val="00334579"/>
    <w:rsid w:val="00335858"/>
    <w:rsid w:val="00336BDA"/>
    <w:rsid w:val="003404B5"/>
    <w:rsid w:val="00340D5F"/>
    <w:rsid w:val="00342BD7"/>
    <w:rsid w:val="00346DB5"/>
    <w:rsid w:val="00346FC4"/>
    <w:rsid w:val="003477B1"/>
    <w:rsid w:val="0035547F"/>
    <w:rsid w:val="00357380"/>
    <w:rsid w:val="003602D9"/>
    <w:rsid w:val="003604CE"/>
    <w:rsid w:val="003657B1"/>
    <w:rsid w:val="00370E47"/>
    <w:rsid w:val="003713AA"/>
    <w:rsid w:val="003742AC"/>
    <w:rsid w:val="0037535C"/>
    <w:rsid w:val="00377CE1"/>
    <w:rsid w:val="003837A4"/>
    <w:rsid w:val="00385BF0"/>
    <w:rsid w:val="00386C0A"/>
    <w:rsid w:val="00393699"/>
    <w:rsid w:val="003939FF"/>
    <w:rsid w:val="003A2223"/>
    <w:rsid w:val="003A2A0F"/>
    <w:rsid w:val="003A3F2B"/>
    <w:rsid w:val="003A45A1"/>
    <w:rsid w:val="003A5B0A"/>
    <w:rsid w:val="003A6BAC"/>
    <w:rsid w:val="003A70A4"/>
    <w:rsid w:val="003A7EF3"/>
    <w:rsid w:val="003B159C"/>
    <w:rsid w:val="003B369F"/>
    <w:rsid w:val="003B36A3"/>
    <w:rsid w:val="003B64BB"/>
    <w:rsid w:val="003B7E07"/>
    <w:rsid w:val="003B7FE5"/>
    <w:rsid w:val="003C11C8"/>
    <w:rsid w:val="003C2702"/>
    <w:rsid w:val="003C7806"/>
    <w:rsid w:val="003D0C7F"/>
    <w:rsid w:val="003D109F"/>
    <w:rsid w:val="003D2478"/>
    <w:rsid w:val="003D3C45"/>
    <w:rsid w:val="003D5B1F"/>
    <w:rsid w:val="003E0BE2"/>
    <w:rsid w:val="003E15FA"/>
    <w:rsid w:val="003E55E4"/>
    <w:rsid w:val="003E64BA"/>
    <w:rsid w:val="003E74E3"/>
    <w:rsid w:val="003F05C7"/>
    <w:rsid w:val="003F2CD4"/>
    <w:rsid w:val="003F6BBE"/>
    <w:rsid w:val="004000E8"/>
    <w:rsid w:val="00402849"/>
    <w:rsid w:val="00402E2B"/>
    <w:rsid w:val="0040512B"/>
    <w:rsid w:val="00405CA5"/>
    <w:rsid w:val="00407CD3"/>
    <w:rsid w:val="00410134"/>
    <w:rsid w:val="00410B72"/>
    <w:rsid w:val="00410F18"/>
    <w:rsid w:val="00412066"/>
    <w:rsid w:val="0041263E"/>
    <w:rsid w:val="00413AAC"/>
    <w:rsid w:val="00413E92"/>
    <w:rsid w:val="004162A6"/>
    <w:rsid w:val="00420290"/>
    <w:rsid w:val="00421105"/>
    <w:rsid w:val="00422AA4"/>
    <w:rsid w:val="00423E90"/>
    <w:rsid w:val="004242F4"/>
    <w:rsid w:val="0042498B"/>
    <w:rsid w:val="00427248"/>
    <w:rsid w:val="00427583"/>
    <w:rsid w:val="0043523B"/>
    <w:rsid w:val="00437447"/>
    <w:rsid w:val="00441A92"/>
    <w:rsid w:val="004431DC"/>
    <w:rsid w:val="00443D19"/>
    <w:rsid w:val="00444ED9"/>
    <w:rsid w:val="00444F56"/>
    <w:rsid w:val="00446488"/>
    <w:rsid w:val="004479F0"/>
    <w:rsid w:val="004517AA"/>
    <w:rsid w:val="004527C5"/>
    <w:rsid w:val="00452CAC"/>
    <w:rsid w:val="004545FF"/>
    <w:rsid w:val="00457565"/>
    <w:rsid w:val="00457B71"/>
    <w:rsid w:val="004669E2"/>
    <w:rsid w:val="00467E71"/>
    <w:rsid w:val="00467EB1"/>
    <w:rsid w:val="00470C31"/>
    <w:rsid w:val="00471DE0"/>
    <w:rsid w:val="00472933"/>
    <w:rsid w:val="004734D0"/>
    <w:rsid w:val="0047556B"/>
    <w:rsid w:val="00477768"/>
    <w:rsid w:val="00485771"/>
    <w:rsid w:val="00492BC5"/>
    <w:rsid w:val="004964F1"/>
    <w:rsid w:val="004A16BC"/>
    <w:rsid w:val="004A2B94"/>
    <w:rsid w:val="004B6F6A"/>
    <w:rsid w:val="004B7C0C"/>
    <w:rsid w:val="004C3898"/>
    <w:rsid w:val="004C5891"/>
    <w:rsid w:val="004D36B1"/>
    <w:rsid w:val="004D4728"/>
    <w:rsid w:val="004D7EBD"/>
    <w:rsid w:val="004E00CE"/>
    <w:rsid w:val="004E2680"/>
    <w:rsid w:val="004E28F9"/>
    <w:rsid w:val="004E3CD1"/>
    <w:rsid w:val="004E462E"/>
    <w:rsid w:val="004E56DC"/>
    <w:rsid w:val="004E5EF7"/>
    <w:rsid w:val="004E76F4"/>
    <w:rsid w:val="004F0B4E"/>
    <w:rsid w:val="004F0B6C"/>
    <w:rsid w:val="004F2078"/>
    <w:rsid w:val="004F4DA3"/>
    <w:rsid w:val="00502A4A"/>
    <w:rsid w:val="00506557"/>
    <w:rsid w:val="0050677A"/>
    <w:rsid w:val="005108D8"/>
    <w:rsid w:val="005116F9"/>
    <w:rsid w:val="005153A7"/>
    <w:rsid w:val="005219CF"/>
    <w:rsid w:val="005251A4"/>
    <w:rsid w:val="005321EC"/>
    <w:rsid w:val="00534B59"/>
    <w:rsid w:val="00536759"/>
    <w:rsid w:val="00537C62"/>
    <w:rsid w:val="00542F5E"/>
    <w:rsid w:val="00546970"/>
    <w:rsid w:val="00554E19"/>
    <w:rsid w:val="005603CE"/>
    <w:rsid w:val="00560CF9"/>
    <w:rsid w:val="0056121F"/>
    <w:rsid w:val="00572505"/>
    <w:rsid w:val="005741C6"/>
    <w:rsid w:val="00582809"/>
    <w:rsid w:val="0058661B"/>
    <w:rsid w:val="0058798C"/>
    <w:rsid w:val="005900FA"/>
    <w:rsid w:val="005935A4"/>
    <w:rsid w:val="005948C2"/>
    <w:rsid w:val="0059509C"/>
    <w:rsid w:val="00595DCA"/>
    <w:rsid w:val="0059779B"/>
    <w:rsid w:val="005A03FA"/>
    <w:rsid w:val="005A209A"/>
    <w:rsid w:val="005A35F9"/>
    <w:rsid w:val="005A38C9"/>
    <w:rsid w:val="005A3FDD"/>
    <w:rsid w:val="005A406C"/>
    <w:rsid w:val="005A662D"/>
    <w:rsid w:val="005B1409"/>
    <w:rsid w:val="005B2244"/>
    <w:rsid w:val="005B35D7"/>
    <w:rsid w:val="005B392A"/>
    <w:rsid w:val="005B3AA3"/>
    <w:rsid w:val="005B6F83"/>
    <w:rsid w:val="005C37F5"/>
    <w:rsid w:val="005C418A"/>
    <w:rsid w:val="005C55AF"/>
    <w:rsid w:val="005C74FB"/>
    <w:rsid w:val="005D1602"/>
    <w:rsid w:val="005D1C63"/>
    <w:rsid w:val="005D1D04"/>
    <w:rsid w:val="005D4A75"/>
    <w:rsid w:val="005D4DB2"/>
    <w:rsid w:val="005D7247"/>
    <w:rsid w:val="005E385F"/>
    <w:rsid w:val="005E5B81"/>
    <w:rsid w:val="005F2CB1"/>
    <w:rsid w:val="005F3025"/>
    <w:rsid w:val="005F47DE"/>
    <w:rsid w:val="005F618C"/>
    <w:rsid w:val="005F70BD"/>
    <w:rsid w:val="0060283C"/>
    <w:rsid w:val="006029B5"/>
    <w:rsid w:val="00604F14"/>
    <w:rsid w:val="00611B83"/>
    <w:rsid w:val="00613257"/>
    <w:rsid w:val="006135F9"/>
    <w:rsid w:val="00613867"/>
    <w:rsid w:val="00620A71"/>
    <w:rsid w:val="00620D80"/>
    <w:rsid w:val="006234A6"/>
    <w:rsid w:val="00630001"/>
    <w:rsid w:val="00631053"/>
    <w:rsid w:val="006311B3"/>
    <w:rsid w:val="0063284C"/>
    <w:rsid w:val="00632BEC"/>
    <w:rsid w:val="006346E9"/>
    <w:rsid w:val="00636398"/>
    <w:rsid w:val="006368D3"/>
    <w:rsid w:val="006377EC"/>
    <w:rsid w:val="0064151F"/>
    <w:rsid w:val="00641533"/>
    <w:rsid w:val="0064208D"/>
    <w:rsid w:val="00642493"/>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DA"/>
    <w:rsid w:val="00667EE7"/>
    <w:rsid w:val="00670922"/>
    <w:rsid w:val="00670BE1"/>
    <w:rsid w:val="0067218F"/>
    <w:rsid w:val="006741F2"/>
    <w:rsid w:val="00674CC3"/>
    <w:rsid w:val="00675C72"/>
    <w:rsid w:val="006771F9"/>
    <w:rsid w:val="006776D7"/>
    <w:rsid w:val="00681003"/>
    <w:rsid w:val="006817C9"/>
    <w:rsid w:val="00683ECE"/>
    <w:rsid w:val="00691E75"/>
    <w:rsid w:val="00693B54"/>
    <w:rsid w:val="00695FC2"/>
    <w:rsid w:val="00696949"/>
    <w:rsid w:val="00697052"/>
    <w:rsid w:val="006A46FB"/>
    <w:rsid w:val="006A5E28"/>
    <w:rsid w:val="006A697B"/>
    <w:rsid w:val="006A7AFF"/>
    <w:rsid w:val="006B1816"/>
    <w:rsid w:val="006B2099"/>
    <w:rsid w:val="006B3B6F"/>
    <w:rsid w:val="006B50CF"/>
    <w:rsid w:val="006B61A1"/>
    <w:rsid w:val="006C03B8"/>
    <w:rsid w:val="006C5EC9"/>
    <w:rsid w:val="006C6059"/>
    <w:rsid w:val="006C7522"/>
    <w:rsid w:val="006D6F08"/>
    <w:rsid w:val="006D76F4"/>
    <w:rsid w:val="006E062C"/>
    <w:rsid w:val="006E1C82"/>
    <w:rsid w:val="006E28B7"/>
    <w:rsid w:val="006E2A9B"/>
    <w:rsid w:val="006E3310"/>
    <w:rsid w:val="006E4E39"/>
    <w:rsid w:val="006E565E"/>
    <w:rsid w:val="006E673D"/>
    <w:rsid w:val="006E7A9A"/>
    <w:rsid w:val="006E7D3B"/>
    <w:rsid w:val="006F1B70"/>
    <w:rsid w:val="006F341D"/>
    <w:rsid w:val="006F3CDE"/>
    <w:rsid w:val="006F58D4"/>
    <w:rsid w:val="006F6582"/>
    <w:rsid w:val="0070346E"/>
    <w:rsid w:val="007047DF"/>
    <w:rsid w:val="00704EDB"/>
    <w:rsid w:val="00706101"/>
    <w:rsid w:val="00707072"/>
    <w:rsid w:val="00707D61"/>
    <w:rsid w:val="00712287"/>
    <w:rsid w:val="00712772"/>
    <w:rsid w:val="007148D3"/>
    <w:rsid w:val="00715B9A"/>
    <w:rsid w:val="0071794C"/>
    <w:rsid w:val="0072163F"/>
    <w:rsid w:val="007224CC"/>
    <w:rsid w:val="007256EC"/>
    <w:rsid w:val="007257D0"/>
    <w:rsid w:val="00726EA6"/>
    <w:rsid w:val="00727208"/>
    <w:rsid w:val="00727680"/>
    <w:rsid w:val="007348B1"/>
    <w:rsid w:val="007362A6"/>
    <w:rsid w:val="00736D7D"/>
    <w:rsid w:val="00740E58"/>
    <w:rsid w:val="00742D11"/>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B2F"/>
    <w:rsid w:val="007925EA"/>
    <w:rsid w:val="00793CD8"/>
    <w:rsid w:val="00795C92"/>
    <w:rsid w:val="00796231"/>
    <w:rsid w:val="007A1CB3"/>
    <w:rsid w:val="007A306F"/>
    <w:rsid w:val="007A3CDF"/>
    <w:rsid w:val="007A43A6"/>
    <w:rsid w:val="007A58A6"/>
    <w:rsid w:val="007B02D6"/>
    <w:rsid w:val="007B3D2D"/>
    <w:rsid w:val="007B50AE"/>
    <w:rsid w:val="007B51DF"/>
    <w:rsid w:val="007C05DD"/>
    <w:rsid w:val="007C1632"/>
    <w:rsid w:val="007C3D18"/>
    <w:rsid w:val="007C4112"/>
    <w:rsid w:val="007C60BF"/>
    <w:rsid w:val="007C6A07"/>
    <w:rsid w:val="007C6E1E"/>
    <w:rsid w:val="007C75A1"/>
    <w:rsid w:val="007C77A5"/>
    <w:rsid w:val="007D04E5"/>
    <w:rsid w:val="007D5901"/>
    <w:rsid w:val="007D7526"/>
    <w:rsid w:val="007E4610"/>
    <w:rsid w:val="007E4715"/>
    <w:rsid w:val="007E505B"/>
    <w:rsid w:val="007E7091"/>
    <w:rsid w:val="007F1082"/>
    <w:rsid w:val="008016D9"/>
    <w:rsid w:val="00803FAE"/>
    <w:rsid w:val="0080605F"/>
    <w:rsid w:val="008067BC"/>
    <w:rsid w:val="00807786"/>
    <w:rsid w:val="00807A47"/>
    <w:rsid w:val="00811FCB"/>
    <w:rsid w:val="00813DF1"/>
    <w:rsid w:val="008158D6"/>
    <w:rsid w:val="00817196"/>
    <w:rsid w:val="00817C8F"/>
    <w:rsid w:val="0082316B"/>
    <w:rsid w:val="008235DB"/>
    <w:rsid w:val="00824AB4"/>
    <w:rsid w:val="00825C42"/>
    <w:rsid w:val="00825D25"/>
    <w:rsid w:val="00827D6F"/>
    <w:rsid w:val="00831BBC"/>
    <w:rsid w:val="008376AC"/>
    <w:rsid w:val="00843E67"/>
    <w:rsid w:val="008444E8"/>
    <w:rsid w:val="00844E80"/>
    <w:rsid w:val="00846FE7"/>
    <w:rsid w:val="00856911"/>
    <w:rsid w:val="00860FA9"/>
    <w:rsid w:val="00861CB9"/>
    <w:rsid w:val="00866E7D"/>
    <w:rsid w:val="008677FD"/>
    <w:rsid w:val="008706D4"/>
    <w:rsid w:val="00870F8A"/>
    <w:rsid w:val="00871822"/>
    <w:rsid w:val="008719A4"/>
    <w:rsid w:val="00871D23"/>
    <w:rsid w:val="00874312"/>
    <w:rsid w:val="0087437C"/>
    <w:rsid w:val="00875CD7"/>
    <w:rsid w:val="00876B4D"/>
    <w:rsid w:val="00877F18"/>
    <w:rsid w:val="00882A97"/>
    <w:rsid w:val="00884B7A"/>
    <w:rsid w:val="008870CB"/>
    <w:rsid w:val="0089076E"/>
    <w:rsid w:val="008941E3"/>
    <w:rsid w:val="00894305"/>
    <w:rsid w:val="00894A88"/>
    <w:rsid w:val="00895386"/>
    <w:rsid w:val="008962AD"/>
    <w:rsid w:val="008A21FF"/>
    <w:rsid w:val="008A2CE2"/>
    <w:rsid w:val="008A30AC"/>
    <w:rsid w:val="008A44B8"/>
    <w:rsid w:val="008A51A8"/>
    <w:rsid w:val="008A54C7"/>
    <w:rsid w:val="008A77D8"/>
    <w:rsid w:val="008B0483"/>
    <w:rsid w:val="008B09DE"/>
    <w:rsid w:val="008B120C"/>
    <w:rsid w:val="008B1B8A"/>
    <w:rsid w:val="008B2CED"/>
    <w:rsid w:val="008B51A0"/>
    <w:rsid w:val="008B592A"/>
    <w:rsid w:val="008B7B5C"/>
    <w:rsid w:val="008C0C99"/>
    <w:rsid w:val="008C178B"/>
    <w:rsid w:val="008C2017"/>
    <w:rsid w:val="008C3A56"/>
    <w:rsid w:val="008C4958"/>
    <w:rsid w:val="008C4BAA"/>
    <w:rsid w:val="008C6AE8"/>
    <w:rsid w:val="008C7573"/>
    <w:rsid w:val="008D00A5"/>
    <w:rsid w:val="008D11ED"/>
    <w:rsid w:val="008D34F1"/>
    <w:rsid w:val="008D39D8"/>
    <w:rsid w:val="008D3BA4"/>
    <w:rsid w:val="008D4769"/>
    <w:rsid w:val="008D6D1A"/>
    <w:rsid w:val="008E065E"/>
    <w:rsid w:val="008E0927"/>
    <w:rsid w:val="008E1909"/>
    <w:rsid w:val="008E1EA3"/>
    <w:rsid w:val="008F1EAB"/>
    <w:rsid w:val="008F33DC"/>
    <w:rsid w:val="008F477F"/>
    <w:rsid w:val="00902350"/>
    <w:rsid w:val="0090336B"/>
    <w:rsid w:val="009053AA"/>
    <w:rsid w:val="00906939"/>
    <w:rsid w:val="00910B7D"/>
    <w:rsid w:val="00911DFB"/>
    <w:rsid w:val="00913375"/>
    <w:rsid w:val="009139D9"/>
    <w:rsid w:val="00914AD8"/>
    <w:rsid w:val="00916079"/>
    <w:rsid w:val="00916437"/>
    <w:rsid w:val="00916F16"/>
    <w:rsid w:val="00917CE9"/>
    <w:rsid w:val="00920BF2"/>
    <w:rsid w:val="00922010"/>
    <w:rsid w:val="00927262"/>
    <w:rsid w:val="00931BD9"/>
    <w:rsid w:val="009368F3"/>
    <w:rsid w:val="009400A8"/>
    <w:rsid w:val="00941330"/>
    <w:rsid w:val="00941636"/>
    <w:rsid w:val="00943742"/>
    <w:rsid w:val="00945C05"/>
    <w:rsid w:val="00945EF9"/>
    <w:rsid w:val="00946945"/>
    <w:rsid w:val="00947713"/>
    <w:rsid w:val="00950DE7"/>
    <w:rsid w:val="00953920"/>
    <w:rsid w:val="00953D47"/>
    <w:rsid w:val="0095681E"/>
    <w:rsid w:val="009572D4"/>
    <w:rsid w:val="009601B9"/>
    <w:rsid w:val="00960B1C"/>
    <w:rsid w:val="00961921"/>
    <w:rsid w:val="0096430A"/>
    <w:rsid w:val="0096554B"/>
    <w:rsid w:val="0096584A"/>
    <w:rsid w:val="00967E43"/>
    <w:rsid w:val="00971F08"/>
    <w:rsid w:val="0097603D"/>
    <w:rsid w:val="00976949"/>
    <w:rsid w:val="00976962"/>
    <w:rsid w:val="0097752D"/>
    <w:rsid w:val="009778AF"/>
    <w:rsid w:val="0097796E"/>
    <w:rsid w:val="00980477"/>
    <w:rsid w:val="00985253"/>
    <w:rsid w:val="009853B3"/>
    <w:rsid w:val="0098575A"/>
    <w:rsid w:val="00990630"/>
    <w:rsid w:val="00991761"/>
    <w:rsid w:val="00994DCA"/>
    <w:rsid w:val="009960EC"/>
    <w:rsid w:val="009970DD"/>
    <w:rsid w:val="00997F28"/>
    <w:rsid w:val="009A0FBA"/>
    <w:rsid w:val="009A1601"/>
    <w:rsid w:val="009A3027"/>
    <w:rsid w:val="009A3BB6"/>
    <w:rsid w:val="009A462D"/>
    <w:rsid w:val="009A5CBA"/>
    <w:rsid w:val="009A5FE4"/>
    <w:rsid w:val="009A728C"/>
    <w:rsid w:val="009B0693"/>
    <w:rsid w:val="009B1F30"/>
    <w:rsid w:val="009B3641"/>
    <w:rsid w:val="009B3AC2"/>
    <w:rsid w:val="009B4DF4"/>
    <w:rsid w:val="009B564E"/>
    <w:rsid w:val="009B5938"/>
    <w:rsid w:val="009B7E87"/>
    <w:rsid w:val="009C0169"/>
    <w:rsid w:val="009C3739"/>
    <w:rsid w:val="009C403E"/>
    <w:rsid w:val="009D2F6B"/>
    <w:rsid w:val="009D4FF0"/>
    <w:rsid w:val="009D703C"/>
    <w:rsid w:val="009D718F"/>
    <w:rsid w:val="009E068F"/>
    <w:rsid w:val="009E14E0"/>
    <w:rsid w:val="009E35DB"/>
    <w:rsid w:val="009E47A3"/>
    <w:rsid w:val="009E588C"/>
    <w:rsid w:val="009E7B73"/>
    <w:rsid w:val="009F08F3"/>
    <w:rsid w:val="009F2475"/>
    <w:rsid w:val="009F344F"/>
    <w:rsid w:val="009F6117"/>
    <w:rsid w:val="009F7346"/>
    <w:rsid w:val="00A031D8"/>
    <w:rsid w:val="00A048A8"/>
    <w:rsid w:val="00A04F49"/>
    <w:rsid w:val="00A1129A"/>
    <w:rsid w:val="00A138C8"/>
    <w:rsid w:val="00A13E54"/>
    <w:rsid w:val="00A17F63"/>
    <w:rsid w:val="00A21344"/>
    <w:rsid w:val="00A2193B"/>
    <w:rsid w:val="00A2351A"/>
    <w:rsid w:val="00A235B7"/>
    <w:rsid w:val="00A264A9"/>
    <w:rsid w:val="00A26DCF"/>
    <w:rsid w:val="00A27785"/>
    <w:rsid w:val="00A30187"/>
    <w:rsid w:val="00A3448A"/>
    <w:rsid w:val="00A36297"/>
    <w:rsid w:val="00A41E2B"/>
    <w:rsid w:val="00A4236E"/>
    <w:rsid w:val="00A45B74"/>
    <w:rsid w:val="00A5038E"/>
    <w:rsid w:val="00A52E1D"/>
    <w:rsid w:val="00A53AEA"/>
    <w:rsid w:val="00A61499"/>
    <w:rsid w:val="00A624B6"/>
    <w:rsid w:val="00A62A77"/>
    <w:rsid w:val="00A63483"/>
    <w:rsid w:val="00A657D7"/>
    <w:rsid w:val="00A660AC"/>
    <w:rsid w:val="00A67E6C"/>
    <w:rsid w:val="00A71B99"/>
    <w:rsid w:val="00A739D0"/>
    <w:rsid w:val="00A75C5D"/>
    <w:rsid w:val="00A761D4"/>
    <w:rsid w:val="00A77EC4"/>
    <w:rsid w:val="00A84632"/>
    <w:rsid w:val="00A850C0"/>
    <w:rsid w:val="00A8772F"/>
    <w:rsid w:val="00A92879"/>
    <w:rsid w:val="00A9442A"/>
    <w:rsid w:val="00A965DE"/>
    <w:rsid w:val="00AA016F"/>
    <w:rsid w:val="00AA1ED6"/>
    <w:rsid w:val="00AA51D6"/>
    <w:rsid w:val="00AA5D17"/>
    <w:rsid w:val="00AB0BC8"/>
    <w:rsid w:val="00AB11CA"/>
    <w:rsid w:val="00AB14D9"/>
    <w:rsid w:val="00AB4AB8"/>
    <w:rsid w:val="00AB655E"/>
    <w:rsid w:val="00AC007F"/>
    <w:rsid w:val="00AC2173"/>
    <w:rsid w:val="00AC2ECD"/>
    <w:rsid w:val="00AC3119"/>
    <w:rsid w:val="00AC49FB"/>
    <w:rsid w:val="00AC5202"/>
    <w:rsid w:val="00AC5A10"/>
    <w:rsid w:val="00AD0AA3"/>
    <w:rsid w:val="00AD1D73"/>
    <w:rsid w:val="00AD2E8A"/>
    <w:rsid w:val="00AD3F94"/>
    <w:rsid w:val="00AD4781"/>
    <w:rsid w:val="00AD4A5A"/>
    <w:rsid w:val="00AE27AC"/>
    <w:rsid w:val="00AE40E0"/>
    <w:rsid w:val="00AE4DBA"/>
    <w:rsid w:val="00AE4F07"/>
    <w:rsid w:val="00AF1C5D"/>
    <w:rsid w:val="00AF31D4"/>
    <w:rsid w:val="00AF42D7"/>
    <w:rsid w:val="00B006FE"/>
    <w:rsid w:val="00B007CB"/>
    <w:rsid w:val="00B02AA9"/>
    <w:rsid w:val="00B02FA3"/>
    <w:rsid w:val="00B04DDB"/>
    <w:rsid w:val="00B05084"/>
    <w:rsid w:val="00B07BED"/>
    <w:rsid w:val="00B11C20"/>
    <w:rsid w:val="00B157F9"/>
    <w:rsid w:val="00B20256"/>
    <w:rsid w:val="00B20D09"/>
    <w:rsid w:val="00B2763F"/>
    <w:rsid w:val="00B27AAC"/>
    <w:rsid w:val="00B30929"/>
    <w:rsid w:val="00B372AA"/>
    <w:rsid w:val="00B40445"/>
    <w:rsid w:val="00B4080A"/>
    <w:rsid w:val="00B409E0"/>
    <w:rsid w:val="00B41888"/>
    <w:rsid w:val="00B41F89"/>
    <w:rsid w:val="00B43BCD"/>
    <w:rsid w:val="00B45A52"/>
    <w:rsid w:val="00B46175"/>
    <w:rsid w:val="00B548B7"/>
    <w:rsid w:val="00B664C7"/>
    <w:rsid w:val="00B739F6"/>
    <w:rsid w:val="00B81A6C"/>
    <w:rsid w:val="00B83B13"/>
    <w:rsid w:val="00B85DE5"/>
    <w:rsid w:val="00B90F73"/>
    <w:rsid w:val="00B93308"/>
    <w:rsid w:val="00B93B59"/>
    <w:rsid w:val="00B9406A"/>
    <w:rsid w:val="00BA2280"/>
    <w:rsid w:val="00BA2A08"/>
    <w:rsid w:val="00BA45CC"/>
    <w:rsid w:val="00BA56D2"/>
    <w:rsid w:val="00BA76E0"/>
    <w:rsid w:val="00BB2A25"/>
    <w:rsid w:val="00BB51E9"/>
    <w:rsid w:val="00BC0E35"/>
    <w:rsid w:val="00BC0FDC"/>
    <w:rsid w:val="00BC3053"/>
    <w:rsid w:val="00BC4D2E"/>
    <w:rsid w:val="00BD48AC"/>
    <w:rsid w:val="00BD5F1A"/>
    <w:rsid w:val="00BE1234"/>
    <w:rsid w:val="00BE2FA6"/>
    <w:rsid w:val="00BE333F"/>
    <w:rsid w:val="00BE7406"/>
    <w:rsid w:val="00BE7603"/>
    <w:rsid w:val="00BF3279"/>
    <w:rsid w:val="00BF4BAD"/>
    <w:rsid w:val="00BF74C7"/>
    <w:rsid w:val="00C015F1"/>
    <w:rsid w:val="00C01F33"/>
    <w:rsid w:val="00C02CC6"/>
    <w:rsid w:val="00C040F7"/>
    <w:rsid w:val="00C044AB"/>
    <w:rsid w:val="00C0561F"/>
    <w:rsid w:val="00C05706"/>
    <w:rsid w:val="00C07377"/>
    <w:rsid w:val="00C10478"/>
    <w:rsid w:val="00C12107"/>
    <w:rsid w:val="00C14D4B"/>
    <w:rsid w:val="00C154BB"/>
    <w:rsid w:val="00C279B5"/>
    <w:rsid w:val="00C27C45"/>
    <w:rsid w:val="00C305EF"/>
    <w:rsid w:val="00C32F48"/>
    <w:rsid w:val="00C348D3"/>
    <w:rsid w:val="00C3719D"/>
    <w:rsid w:val="00C37CB2"/>
    <w:rsid w:val="00C37D68"/>
    <w:rsid w:val="00C40A6E"/>
    <w:rsid w:val="00C40AFB"/>
    <w:rsid w:val="00C40F47"/>
    <w:rsid w:val="00C473A5"/>
    <w:rsid w:val="00C50332"/>
    <w:rsid w:val="00C531E4"/>
    <w:rsid w:val="00C54995"/>
    <w:rsid w:val="00C54D41"/>
    <w:rsid w:val="00C60783"/>
    <w:rsid w:val="00C64201"/>
    <w:rsid w:val="00C64672"/>
    <w:rsid w:val="00C70697"/>
    <w:rsid w:val="00C72093"/>
    <w:rsid w:val="00C72EF4"/>
    <w:rsid w:val="00C744FE"/>
    <w:rsid w:val="00C75D2F"/>
    <w:rsid w:val="00C767BE"/>
    <w:rsid w:val="00C76E3C"/>
    <w:rsid w:val="00C81568"/>
    <w:rsid w:val="00C82911"/>
    <w:rsid w:val="00C85F89"/>
    <w:rsid w:val="00C874EF"/>
    <w:rsid w:val="00C87AC3"/>
    <w:rsid w:val="00C9027A"/>
    <w:rsid w:val="00C9068E"/>
    <w:rsid w:val="00C91C31"/>
    <w:rsid w:val="00C93814"/>
    <w:rsid w:val="00C93C4B"/>
    <w:rsid w:val="00C944AB"/>
    <w:rsid w:val="00C94818"/>
    <w:rsid w:val="00C95B40"/>
    <w:rsid w:val="00C95E5E"/>
    <w:rsid w:val="00CA1ED8"/>
    <w:rsid w:val="00CA7378"/>
    <w:rsid w:val="00CB1F63"/>
    <w:rsid w:val="00CB7170"/>
    <w:rsid w:val="00CC040E"/>
    <w:rsid w:val="00CC0D2A"/>
    <w:rsid w:val="00CC111F"/>
    <w:rsid w:val="00CC2011"/>
    <w:rsid w:val="00CC3EA0"/>
    <w:rsid w:val="00CC7B45"/>
    <w:rsid w:val="00CD1188"/>
    <w:rsid w:val="00CD2ED1"/>
    <w:rsid w:val="00CD337B"/>
    <w:rsid w:val="00CE0424"/>
    <w:rsid w:val="00CE7561"/>
    <w:rsid w:val="00CF1354"/>
    <w:rsid w:val="00CF39EE"/>
    <w:rsid w:val="00CF3B1F"/>
    <w:rsid w:val="00CF3BF6"/>
    <w:rsid w:val="00CF3D87"/>
    <w:rsid w:val="00CF3DA4"/>
    <w:rsid w:val="00CF625B"/>
    <w:rsid w:val="00CF687E"/>
    <w:rsid w:val="00D0349B"/>
    <w:rsid w:val="00D051B1"/>
    <w:rsid w:val="00D0693C"/>
    <w:rsid w:val="00D10249"/>
    <w:rsid w:val="00D115C3"/>
    <w:rsid w:val="00D11897"/>
    <w:rsid w:val="00D13135"/>
    <w:rsid w:val="00D13E4E"/>
    <w:rsid w:val="00D1567E"/>
    <w:rsid w:val="00D17F9A"/>
    <w:rsid w:val="00D239A7"/>
    <w:rsid w:val="00D23F47"/>
    <w:rsid w:val="00D24624"/>
    <w:rsid w:val="00D26D07"/>
    <w:rsid w:val="00D36E71"/>
    <w:rsid w:val="00D37D87"/>
    <w:rsid w:val="00D40B33"/>
    <w:rsid w:val="00D4318F"/>
    <w:rsid w:val="00D438BF"/>
    <w:rsid w:val="00D440F8"/>
    <w:rsid w:val="00D4560B"/>
    <w:rsid w:val="00D546FF"/>
    <w:rsid w:val="00D55AD5"/>
    <w:rsid w:val="00D576CA"/>
    <w:rsid w:val="00D61AF5"/>
    <w:rsid w:val="00D652B5"/>
    <w:rsid w:val="00D66155"/>
    <w:rsid w:val="00D708B0"/>
    <w:rsid w:val="00D74A3C"/>
    <w:rsid w:val="00D77B1D"/>
    <w:rsid w:val="00D8021F"/>
    <w:rsid w:val="00D80383"/>
    <w:rsid w:val="00D823C6"/>
    <w:rsid w:val="00D82C07"/>
    <w:rsid w:val="00D8327F"/>
    <w:rsid w:val="00D86CA3"/>
    <w:rsid w:val="00D871CE"/>
    <w:rsid w:val="00D9196D"/>
    <w:rsid w:val="00D92982"/>
    <w:rsid w:val="00DA1DCA"/>
    <w:rsid w:val="00DA305E"/>
    <w:rsid w:val="00DA5417"/>
    <w:rsid w:val="00DA56E8"/>
    <w:rsid w:val="00DB0A9F"/>
    <w:rsid w:val="00DB377D"/>
    <w:rsid w:val="00DB76CE"/>
    <w:rsid w:val="00DC2D36"/>
    <w:rsid w:val="00DC53EF"/>
    <w:rsid w:val="00DE511E"/>
    <w:rsid w:val="00DE5608"/>
    <w:rsid w:val="00DE58D0"/>
    <w:rsid w:val="00DE5DD2"/>
    <w:rsid w:val="00DE654F"/>
    <w:rsid w:val="00DF0B6E"/>
    <w:rsid w:val="00DF15E0"/>
    <w:rsid w:val="00DF37A0"/>
    <w:rsid w:val="00DF4004"/>
    <w:rsid w:val="00DF799A"/>
    <w:rsid w:val="00E0203B"/>
    <w:rsid w:val="00E106F8"/>
    <w:rsid w:val="00E110E7"/>
    <w:rsid w:val="00E114C2"/>
    <w:rsid w:val="00E11B20"/>
    <w:rsid w:val="00E178FF"/>
    <w:rsid w:val="00E17FA2"/>
    <w:rsid w:val="00E22330"/>
    <w:rsid w:val="00E30B5A"/>
    <w:rsid w:val="00E3123D"/>
    <w:rsid w:val="00E31461"/>
    <w:rsid w:val="00E31D43"/>
    <w:rsid w:val="00E32608"/>
    <w:rsid w:val="00E34188"/>
    <w:rsid w:val="00E34B6E"/>
    <w:rsid w:val="00E35559"/>
    <w:rsid w:val="00E3723A"/>
    <w:rsid w:val="00E37860"/>
    <w:rsid w:val="00E404A9"/>
    <w:rsid w:val="00E41437"/>
    <w:rsid w:val="00E43923"/>
    <w:rsid w:val="00E446F1"/>
    <w:rsid w:val="00E45AA5"/>
    <w:rsid w:val="00E46886"/>
    <w:rsid w:val="00E47AEF"/>
    <w:rsid w:val="00E52E4A"/>
    <w:rsid w:val="00E53B75"/>
    <w:rsid w:val="00E5423A"/>
    <w:rsid w:val="00E54E3B"/>
    <w:rsid w:val="00E57565"/>
    <w:rsid w:val="00E63838"/>
    <w:rsid w:val="00E64434"/>
    <w:rsid w:val="00E67C51"/>
    <w:rsid w:val="00E72EFC"/>
    <w:rsid w:val="00E758EC"/>
    <w:rsid w:val="00E75E6F"/>
    <w:rsid w:val="00E80FC8"/>
    <w:rsid w:val="00E8234C"/>
    <w:rsid w:val="00E83AA9"/>
    <w:rsid w:val="00E85928"/>
    <w:rsid w:val="00E87822"/>
    <w:rsid w:val="00E90395"/>
    <w:rsid w:val="00E90E49"/>
    <w:rsid w:val="00E915E8"/>
    <w:rsid w:val="00E917F9"/>
    <w:rsid w:val="00E9291C"/>
    <w:rsid w:val="00E9385B"/>
    <w:rsid w:val="00E93FFE"/>
    <w:rsid w:val="00E94F8A"/>
    <w:rsid w:val="00EA04CB"/>
    <w:rsid w:val="00EA362F"/>
    <w:rsid w:val="00EA656F"/>
    <w:rsid w:val="00EA7A41"/>
    <w:rsid w:val="00EB077B"/>
    <w:rsid w:val="00EB4EA2"/>
    <w:rsid w:val="00EC24D5"/>
    <w:rsid w:val="00EC27C6"/>
    <w:rsid w:val="00EC4207"/>
    <w:rsid w:val="00EC5653"/>
    <w:rsid w:val="00EC71CE"/>
    <w:rsid w:val="00EC773E"/>
    <w:rsid w:val="00ED1006"/>
    <w:rsid w:val="00ED46F2"/>
    <w:rsid w:val="00EE0E90"/>
    <w:rsid w:val="00EE3B6B"/>
    <w:rsid w:val="00EF18FE"/>
    <w:rsid w:val="00EF3082"/>
    <w:rsid w:val="00EF5787"/>
    <w:rsid w:val="00EF60D0"/>
    <w:rsid w:val="00F0528D"/>
    <w:rsid w:val="00F06B8E"/>
    <w:rsid w:val="00F06C67"/>
    <w:rsid w:val="00F06DFD"/>
    <w:rsid w:val="00F071D1"/>
    <w:rsid w:val="00F07533"/>
    <w:rsid w:val="00F10629"/>
    <w:rsid w:val="00F15FA5"/>
    <w:rsid w:val="00F209B7"/>
    <w:rsid w:val="00F2376F"/>
    <w:rsid w:val="00F241B7"/>
    <w:rsid w:val="00F243D8"/>
    <w:rsid w:val="00F30828"/>
    <w:rsid w:val="00F313D6"/>
    <w:rsid w:val="00F347E9"/>
    <w:rsid w:val="00F40A6E"/>
    <w:rsid w:val="00F40F0C"/>
    <w:rsid w:val="00F4766C"/>
    <w:rsid w:val="00F5060E"/>
    <w:rsid w:val="00F507D1"/>
    <w:rsid w:val="00F519CE"/>
    <w:rsid w:val="00F51ADA"/>
    <w:rsid w:val="00F52997"/>
    <w:rsid w:val="00F60203"/>
    <w:rsid w:val="00F607C5"/>
    <w:rsid w:val="00F60DEA"/>
    <w:rsid w:val="00F6302A"/>
    <w:rsid w:val="00F63950"/>
    <w:rsid w:val="00F64C2B"/>
    <w:rsid w:val="00F651BE"/>
    <w:rsid w:val="00F67F53"/>
    <w:rsid w:val="00F703BE"/>
    <w:rsid w:val="00F71F69"/>
    <w:rsid w:val="00F725E0"/>
    <w:rsid w:val="00F72B72"/>
    <w:rsid w:val="00F74BB9"/>
    <w:rsid w:val="00F75582"/>
    <w:rsid w:val="00F76EFA"/>
    <w:rsid w:val="00F77F64"/>
    <w:rsid w:val="00F804BE"/>
    <w:rsid w:val="00F817CE"/>
    <w:rsid w:val="00F8456C"/>
    <w:rsid w:val="00F859D8"/>
    <w:rsid w:val="00F868F5"/>
    <w:rsid w:val="00F9056A"/>
    <w:rsid w:val="00F90F8D"/>
    <w:rsid w:val="00F92782"/>
    <w:rsid w:val="00F93AA9"/>
    <w:rsid w:val="00F93E8F"/>
    <w:rsid w:val="00F96985"/>
    <w:rsid w:val="00F97838"/>
    <w:rsid w:val="00FA2BB3"/>
    <w:rsid w:val="00FB4C80"/>
    <w:rsid w:val="00FB6A6A"/>
    <w:rsid w:val="00FC06F5"/>
    <w:rsid w:val="00FC0C99"/>
    <w:rsid w:val="00FC7429"/>
    <w:rsid w:val="00FD07F6"/>
    <w:rsid w:val="00FD1EC8"/>
    <w:rsid w:val="00FD3EAD"/>
    <w:rsid w:val="00FD47ED"/>
    <w:rsid w:val="00FD74DB"/>
    <w:rsid w:val="00FD7660"/>
    <w:rsid w:val="00FE0655"/>
    <w:rsid w:val="00FE2365"/>
    <w:rsid w:val="00FE37D7"/>
    <w:rsid w:val="00FE4134"/>
    <w:rsid w:val="00FE4C7B"/>
    <w:rsid w:val="00FE7336"/>
    <w:rsid w:val="00FE787C"/>
    <w:rsid w:val="00FF45A5"/>
    <w:rsid w:val="00FF5247"/>
    <w:rsid w:val="00FF5C91"/>
    <w:rsid w:val="00FF6C77"/>
    <w:rsid w:val="00FF7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B9118"/>
  <w15:chartTrackingRefBased/>
  <w15:docId w15:val="{41591790-9E36-45B8-BC49-3FD9BCBA1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rsid w:val="00E5423A"/>
    <w:pPr>
      <w:autoSpaceDE w:val="0"/>
      <w:autoSpaceDN w:val="0"/>
      <w:adjustRightInd w:val="0"/>
    </w:pPr>
    <w:rPr>
      <w:rFonts w:ascii="Arial" w:hAnsi="Arial" w:cs="Arial"/>
      <w:color w:val="000000"/>
      <w:sz w:val="24"/>
      <w:szCs w:val="24"/>
      <w:lang w:val="fi-FI"/>
    </w:rPr>
  </w:style>
  <w:style w:type="paragraph" w:styleId="Revision">
    <w:name w:val="Revision"/>
    <w:hidden/>
    <w:uiPriority w:val="99"/>
    <w:semiHidden/>
    <w:rsid w:val="007C163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220646">
      <w:bodyDiv w:val="1"/>
      <w:marLeft w:val="0"/>
      <w:marRight w:val="0"/>
      <w:marTop w:val="0"/>
      <w:marBottom w:val="0"/>
      <w:divBdr>
        <w:top w:val="none" w:sz="0" w:space="0" w:color="auto"/>
        <w:left w:val="none" w:sz="0" w:space="0" w:color="auto"/>
        <w:bottom w:val="none" w:sz="0" w:space="0" w:color="auto"/>
        <w:right w:val="none" w:sz="0" w:space="0" w:color="auto"/>
      </w:divBdr>
    </w:div>
    <w:div w:id="195960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uotir\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5NUHHDQN7SK2-1476151046-35152</_dlc_DocId>
    <_dlc_DocIdUrl xmlns="f166a696-7b5b-4ccd-9f0c-ffde0cceec81">
      <Url>https://ericsson.sharepoint.com/sites/star/_layouts/15/DocIdRedir.aspx?ID=5NUHHDQN7SK2-1476151046-35152</Url>
      <Description>5NUHHDQN7SK2-1476151046-35152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F31AC-9542-490B-8D51-C930DA309833}">
  <ds:schemaRefs>
    <ds:schemaRef ds:uri="http://schemas.microsoft.com/sharepoint/v3/contenttype/forms"/>
  </ds:schemaRefs>
</ds:datastoreItem>
</file>

<file path=customXml/itemProps2.xml><?xml version="1.0" encoding="utf-8"?>
<ds:datastoreItem xmlns:ds="http://schemas.openxmlformats.org/officeDocument/2006/customXml" ds:itemID="{3F632BD8-88AE-415A-8252-287178E3ACAF}">
  <ds:schemaRefs>
    <ds:schemaRef ds:uri="http://schemas.microsoft.com/sharepoint/events"/>
  </ds:schemaRefs>
</ds:datastoreItem>
</file>

<file path=customXml/itemProps3.xml><?xml version="1.0" encoding="utf-8"?>
<ds:datastoreItem xmlns:ds="http://schemas.openxmlformats.org/officeDocument/2006/customXml" ds:itemID="{425FE408-8A3F-4247-9028-8618FD52BD79}">
  <ds:schemaRefs>
    <ds:schemaRef ds:uri="Microsoft.SharePoint.Taxonomy.ContentTypeSync"/>
  </ds:schemaRefs>
</ds:datastoreItem>
</file>

<file path=customXml/itemProps4.xml><?xml version="1.0" encoding="utf-8"?>
<ds:datastoreItem xmlns:ds="http://schemas.openxmlformats.org/officeDocument/2006/customXml" ds:itemID="{281DD522-34AE-4734-BA3D-BD0E04250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C87C3B-7510-40A7-9B6B-3D93FC9CF9E5}">
  <ds:schemaRefs>
    <ds:schemaRef ds:uri="http://purl.org/dc/terms/"/>
    <ds:schemaRef ds:uri="d8762117-8292-4133-b1c7-eab5c6487cfd"/>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office/2006/metadata/properties"/>
    <ds:schemaRef ds:uri="611109f9-ed58-4498-a270-1fb2086a5321"/>
    <ds:schemaRef ds:uri="http://schemas.microsoft.com/office/infopath/2007/PartnerControls"/>
    <ds:schemaRef ds:uri="http://schemas.microsoft.com/sharepoint/v4"/>
    <ds:schemaRef ds:uri="http://www.w3.org/XML/1998/namespace"/>
    <ds:schemaRef ds:uri="http://purl.org/dc/dcmitype/"/>
  </ds:schemaRefs>
</ds:datastoreItem>
</file>

<file path=customXml/itemProps6.xml><?xml version="1.0" encoding="utf-8"?>
<ds:datastoreItem xmlns:ds="http://schemas.openxmlformats.org/officeDocument/2006/customXml" ds:itemID="{6D9E6EEB-36AA-4150-8E7D-283D62CD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967</TotalTime>
  <Pages>4</Pages>
  <Words>1382</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226</cp:revision>
  <cp:lastPrinted>2018-10-30T16:52:00Z</cp:lastPrinted>
  <dcterms:created xsi:type="dcterms:W3CDTF">2018-09-19T11:16:00Z</dcterms:created>
  <dcterms:modified xsi:type="dcterms:W3CDTF">2018-11-01T23:28:00Z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9f24afdc-3554-42ae-b583-0241bb9adc7c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